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17EEE" w14:textId="450D8B83" w:rsidR="00C11B91" w:rsidRDefault="00193192" w:rsidP="00C11B91">
      <w:pPr>
        <w:spacing w:after="0" w:line="240" w:lineRule="auto"/>
        <w:jc w:val="center"/>
        <w:outlineLvl w:val="0"/>
        <w:rPr>
          <w:rFonts w:ascii="Comic Sans MS" w:eastAsia="Times New Roman" w:hAnsi="Comic Sans MS" w:cs="Times New Roman"/>
          <w:b/>
          <w:bCs/>
          <w:i/>
          <w:iCs/>
          <w:kern w:val="36"/>
          <w:u w:val="single"/>
          <w:lang w:eastAsia="fr-FR"/>
        </w:rPr>
      </w:pPr>
      <w:r w:rsidRPr="00C11B91">
        <w:rPr>
          <w:rFonts w:ascii="Comic Sans MS" w:eastAsia="Times New Roman" w:hAnsi="Comic Sans MS" w:cs="Times New Roman"/>
          <w:b/>
          <w:bCs/>
          <w:i/>
          <w:iCs/>
          <w:kern w:val="36"/>
          <w:u w:val="single"/>
          <w:lang w:eastAsia="fr-FR"/>
        </w:rPr>
        <w:t>Reconstruction de l’Ukraine : l’aide financière occidentale face au trou noir de la corruption</w:t>
      </w:r>
    </w:p>
    <w:p w14:paraId="33ADF0D7" w14:textId="77777777" w:rsidR="00C11B91" w:rsidRPr="00C11B91" w:rsidRDefault="00C11B91" w:rsidP="00C11B91">
      <w:pPr>
        <w:spacing w:after="0" w:line="240" w:lineRule="auto"/>
        <w:jc w:val="center"/>
        <w:outlineLvl w:val="0"/>
        <w:rPr>
          <w:rFonts w:ascii="Comic Sans MS" w:eastAsia="Times New Roman" w:hAnsi="Comic Sans MS" w:cs="Times New Roman"/>
          <w:b/>
          <w:bCs/>
          <w:i/>
          <w:iCs/>
          <w:kern w:val="36"/>
          <w:u w:val="single"/>
          <w:lang w:eastAsia="fr-FR"/>
        </w:rPr>
      </w:pPr>
    </w:p>
    <w:p w14:paraId="699F73A9" w14:textId="40D7DC10" w:rsidR="00193192" w:rsidRDefault="00193192" w:rsidP="00C11B91">
      <w:pPr>
        <w:spacing w:after="0" w:line="240" w:lineRule="auto"/>
        <w:jc w:val="center"/>
        <w:outlineLvl w:val="0"/>
        <w:rPr>
          <w:rFonts w:ascii="Comic Sans MS" w:eastAsia="Times New Roman" w:hAnsi="Comic Sans MS" w:cs="Times New Roman"/>
          <w:b/>
          <w:bCs/>
          <w:i/>
          <w:iCs/>
          <w:u w:val="single"/>
          <w:lang w:eastAsia="fr-FR"/>
        </w:rPr>
      </w:pPr>
      <w:r w:rsidRPr="00C11B91">
        <w:rPr>
          <w:rFonts w:ascii="Comic Sans MS" w:eastAsia="Times New Roman" w:hAnsi="Comic Sans MS" w:cs="Times New Roman"/>
          <w:b/>
          <w:bCs/>
          <w:i/>
          <w:iCs/>
          <w:u w:val="single"/>
          <w:lang w:eastAsia="fr-FR"/>
        </w:rPr>
        <w:t>Revue Conflits</w:t>
      </w:r>
      <w:r w:rsidR="00C11B91" w:rsidRPr="00C11B91">
        <w:rPr>
          <w:rFonts w:ascii="Comic Sans MS" w:eastAsia="Times New Roman" w:hAnsi="Comic Sans MS" w:cs="Times New Roman"/>
          <w:b/>
          <w:bCs/>
          <w:i/>
          <w:iCs/>
          <w:kern w:val="36"/>
          <w:u w:val="single"/>
          <w:lang w:eastAsia="fr-FR"/>
        </w:rPr>
        <w:t xml:space="preserve"> - </w:t>
      </w:r>
      <w:r w:rsidRPr="00C11B91">
        <w:rPr>
          <w:rFonts w:ascii="Comic Sans MS" w:eastAsia="Times New Roman" w:hAnsi="Comic Sans MS" w:cs="Times New Roman"/>
          <w:b/>
          <w:bCs/>
          <w:i/>
          <w:iCs/>
          <w:u w:val="single"/>
          <w:lang w:eastAsia="fr-FR"/>
        </w:rPr>
        <w:t>Publié le 03 juin 2022</w:t>
      </w:r>
    </w:p>
    <w:p w14:paraId="34223398" w14:textId="77777777" w:rsidR="00C11B91" w:rsidRPr="00C11B91" w:rsidRDefault="00C11B91" w:rsidP="00C11B91">
      <w:pPr>
        <w:spacing w:after="0" w:line="240" w:lineRule="auto"/>
        <w:jc w:val="center"/>
        <w:outlineLvl w:val="0"/>
        <w:rPr>
          <w:rFonts w:ascii="Comic Sans MS" w:eastAsia="Times New Roman" w:hAnsi="Comic Sans MS" w:cs="Times New Roman"/>
          <w:b/>
          <w:bCs/>
          <w:i/>
          <w:iCs/>
          <w:kern w:val="36"/>
          <w:u w:val="single"/>
          <w:lang w:eastAsia="fr-FR"/>
        </w:rPr>
      </w:pPr>
    </w:p>
    <w:p w14:paraId="25250AB7" w14:textId="77777777" w:rsidR="00193192" w:rsidRPr="00C11B91" w:rsidRDefault="00193192" w:rsidP="00C11B91">
      <w:pPr>
        <w:spacing w:after="0" w:line="240" w:lineRule="auto"/>
        <w:jc w:val="both"/>
        <w:outlineLvl w:val="3"/>
        <w:rPr>
          <w:rFonts w:ascii="Comic Sans MS" w:eastAsia="Times New Roman" w:hAnsi="Comic Sans MS" w:cs="Times New Roman"/>
          <w:lang w:eastAsia="fr-FR"/>
        </w:rPr>
      </w:pPr>
      <w:r w:rsidRPr="00C11B91">
        <w:rPr>
          <w:rFonts w:ascii="Comic Sans MS" w:eastAsia="Times New Roman" w:hAnsi="Comic Sans MS" w:cs="Times New Roman"/>
          <w:lang w:eastAsia="fr-FR"/>
        </w:rPr>
        <w:t>La reconstruction de l’Ukraine nécessitera du temps et de l’argent. La corruption ancienne du pays sera un obstacle à surmonter pour assurer cette reconstruction.</w:t>
      </w:r>
    </w:p>
    <w:p w14:paraId="1918CCAC" w14:textId="6386AE41" w:rsidR="00193192" w:rsidRPr="00C11B91" w:rsidRDefault="00193192" w:rsidP="00C11B91">
      <w:pPr>
        <w:spacing w:after="0" w:line="240" w:lineRule="auto"/>
        <w:jc w:val="both"/>
        <w:rPr>
          <w:rFonts w:ascii="Comic Sans MS" w:eastAsia="Times New Roman" w:hAnsi="Comic Sans MS" w:cs="Times New Roman"/>
          <w:lang w:eastAsia="fr-FR"/>
        </w:rPr>
      </w:pPr>
      <w:r w:rsidRPr="00C11B91">
        <w:rPr>
          <w:rFonts w:ascii="Comic Sans MS" w:eastAsia="Times New Roman" w:hAnsi="Comic Sans MS" w:cs="Times New Roman"/>
          <w:lang w:eastAsia="fr-FR"/>
        </w:rPr>
        <w:t xml:space="preserve">L’idée d’une aide financière massive au profit de la reconstruction de l’Ukraine n’est pas nouvelle. Dès mars 2015, l’écrivain Bernard-Henri Lévy, soutenu par plusieurs personnalités politiques européennes, dont l’ancien ministre des Affaires étrangères Bernard Kouchner, et par les oligarques les plus riches d’Ukraine à savoir, </w:t>
      </w:r>
      <w:proofErr w:type="spellStart"/>
      <w:r w:rsidRPr="00C11B91">
        <w:rPr>
          <w:rFonts w:ascii="Comic Sans MS" w:eastAsia="Times New Roman" w:hAnsi="Comic Sans MS" w:cs="Times New Roman"/>
          <w:lang w:eastAsia="fr-FR"/>
        </w:rPr>
        <w:t>Dmytro</w:t>
      </w:r>
      <w:proofErr w:type="spellEnd"/>
      <w:r w:rsidRPr="00C11B91">
        <w:rPr>
          <w:rFonts w:ascii="Comic Sans MS" w:eastAsia="Times New Roman" w:hAnsi="Comic Sans MS" w:cs="Times New Roman"/>
          <w:lang w:eastAsia="fr-FR"/>
        </w:rPr>
        <w:t xml:space="preserve"> </w:t>
      </w:r>
      <w:proofErr w:type="spellStart"/>
      <w:r w:rsidRPr="00C11B91">
        <w:rPr>
          <w:rFonts w:ascii="Comic Sans MS" w:eastAsia="Times New Roman" w:hAnsi="Comic Sans MS" w:cs="Times New Roman"/>
          <w:lang w:eastAsia="fr-FR"/>
        </w:rPr>
        <w:t>Firtash</w:t>
      </w:r>
      <w:proofErr w:type="spellEnd"/>
      <w:r w:rsidRPr="00C11B91">
        <w:rPr>
          <w:rFonts w:ascii="Comic Sans MS" w:eastAsia="Times New Roman" w:hAnsi="Comic Sans MS" w:cs="Times New Roman"/>
          <w:lang w:eastAsia="fr-FR"/>
        </w:rPr>
        <w:t xml:space="preserve">, Victor </w:t>
      </w:r>
      <w:proofErr w:type="spellStart"/>
      <w:r w:rsidRPr="00C11B91">
        <w:rPr>
          <w:rFonts w:ascii="Comic Sans MS" w:eastAsia="Times New Roman" w:hAnsi="Comic Sans MS" w:cs="Times New Roman"/>
          <w:lang w:eastAsia="fr-FR"/>
        </w:rPr>
        <w:t>Pintchouk</w:t>
      </w:r>
      <w:proofErr w:type="spellEnd"/>
      <w:r w:rsidRPr="00C11B91">
        <w:rPr>
          <w:rFonts w:ascii="Comic Sans MS" w:eastAsia="Times New Roman" w:hAnsi="Comic Sans MS" w:cs="Times New Roman"/>
          <w:lang w:eastAsia="fr-FR"/>
        </w:rPr>
        <w:t xml:space="preserve">, </w:t>
      </w:r>
      <w:proofErr w:type="spellStart"/>
      <w:r w:rsidRPr="00C11B91">
        <w:rPr>
          <w:rFonts w:ascii="Comic Sans MS" w:eastAsia="Times New Roman" w:hAnsi="Comic Sans MS" w:cs="Times New Roman"/>
          <w:lang w:eastAsia="fr-FR"/>
        </w:rPr>
        <w:t>Rinat</w:t>
      </w:r>
      <w:proofErr w:type="spellEnd"/>
      <w:r w:rsidRPr="00C11B91">
        <w:rPr>
          <w:rFonts w:ascii="Comic Sans MS" w:eastAsia="Times New Roman" w:hAnsi="Comic Sans MS" w:cs="Times New Roman"/>
          <w:lang w:eastAsia="fr-FR"/>
        </w:rPr>
        <w:t xml:space="preserve"> </w:t>
      </w:r>
      <w:proofErr w:type="spellStart"/>
      <w:r w:rsidRPr="00C11B91">
        <w:rPr>
          <w:rFonts w:ascii="Comic Sans MS" w:eastAsia="Times New Roman" w:hAnsi="Comic Sans MS" w:cs="Times New Roman"/>
          <w:lang w:eastAsia="fr-FR"/>
        </w:rPr>
        <w:t>Akhmetov</w:t>
      </w:r>
      <w:proofErr w:type="spellEnd"/>
      <w:r w:rsidRPr="00C11B91">
        <w:rPr>
          <w:rFonts w:ascii="Comic Sans MS" w:eastAsia="Times New Roman" w:hAnsi="Comic Sans MS" w:cs="Times New Roman"/>
          <w:lang w:eastAsia="fr-FR"/>
        </w:rPr>
        <w:t>, avait présenté un « Plan Marshall pour l’Ukraine ». Son objectif était de mettre sur pied l’Agence pour la modernisation de l’Ukraine (AMU), un organisme devant être alimenté par un fonds spécial d’investissement de 300 milliards € récoltés auprès de l’Union européenne (UE), du Fonds monétaire international (FMI), mais également de différents fonds souverains. Ce projet s’avéra vite controversé en raison notamment de graves accusations de corruption autour des trois oligarques ukrainiens susmentionnés.</w:t>
      </w:r>
    </w:p>
    <w:p w14:paraId="6770B32E" w14:textId="1EC3504E" w:rsidR="00193192" w:rsidRPr="00C11B91" w:rsidRDefault="00193192" w:rsidP="00C11B91">
      <w:pPr>
        <w:spacing w:after="0" w:line="240" w:lineRule="auto"/>
        <w:jc w:val="both"/>
        <w:rPr>
          <w:rFonts w:ascii="Comic Sans MS" w:eastAsia="Times New Roman" w:hAnsi="Comic Sans MS" w:cs="Times New Roman"/>
          <w:lang w:eastAsia="fr-FR"/>
        </w:rPr>
      </w:pPr>
      <w:r w:rsidRPr="00C11B91">
        <w:rPr>
          <w:rFonts w:ascii="Comic Sans MS" w:eastAsia="Times New Roman" w:hAnsi="Comic Sans MS" w:cs="Times New Roman"/>
          <w:lang w:eastAsia="fr-FR"/>
        </w:rPr>
        <w:t xml:space="preserve">L’idée a cependant ressurgi avec plus de vigueur à la faveur de la guerre en Ukraine. Le 23 mai 2022, lors du Forum économique de Davos, le président ukrainien </w:t>
      </w:r>
      <w:proofErr w:type="spellStart"/>
      <w:r w:rsidRPr="00C11B91">
        <w:rPr>
          <w:rFonts w:ascii="Comic Sans MS" w:eastAsia="Times New Roman" w:hAnsi="Comic Sans MS" w:cs="Times New Roman"/>
          <w:lang w:eastAsia="fr-FR"/>
        </w:rPr>
        <w:t>Volodymyr</w:t>
      </w:r>
      <w:proofErr w:type="spellEnd"/>
      <w:r w:rsidRPr="00C11B91">
        <w:rPr>
          <w:rFonts w:ascii="Comic Sans MS" w:eastAsia="Times New Roman" w:hAnsi="Comic Sans MS" w:cs="Times New Roman"/>
          <w:lang w:eastAsia="fr-FR"/>
        </w:rPr>
        <w:t xml:space="preserve"> </w:t>
      </w:r>
      <w:proofErr w:type="spellStart"/>
      <w:r w:rsidRPr="00C11B91">
        <w:rPr>
          <w:rFonts w:ascii="Comic Sans MS" w:eastAsia="Times New Roman" w:hAnsi="Comic Sans MS" w:cs="Times New Roman"/>
          <w:lang w:eastAsia="fr-FR"/>
        </w:rPr>
        <w:t>Zelensky</w:t>
      </w:r>
      <w:proofErr w:type="spellEnd"/>
      <w:r w:rsidRPr="00C11B91">
        <w:rPr>
          <w:rFonts w:ascii="Comic Sans MS" w:eastAsia="Times New Roman" w:hAnsi="Comic Sans MS" w:cs="Times New Roman"/>
          <w:lang w:eastAsia="fr-FR"/>
        </w:rPr>
        <w:t xml:space="preserve"> a réclamé une aide mensuelle de 5 milliards € aux dirigeants occidentaux pour reconstruire le pays. Des États et des institutions internationales rivalisent désormais dans l’annonce de sommes colossales dédiées à la reconstruction de l’Ukraine dans le cadre d’« un nouveau Plan Marshall pour l’Ukraine ». Et ce, au vu des destructions causées par la guerre et estimées à des « </w:t>
      </w:r>
      <w:r w:rsidRPr="00C11B91">
        <w:rPr>
          <w:rFonts w:ascii="Comic Sans MS" w:eastAsia="Times New Roman" w:hAnsi="Comic Sans MS" w:cs="Times New Roman"/>
          <w:i/>
          <w:iCs/>
          <w:lang w:eastAsia="fr-FR"/>
        </w:rPr>
        <w:t>centaines de milliards d’euros, dont plus de 100 milliards pour les seules infrastructures physiques»</w:t>
      </w:r>
      <w:r w:rsidRPr="00C11B91">
        <w:rPr>
          <w:rFonts w:ascii="Comic Sans MS" w:eastAsia="Times New Roman" w:hAnsi="Comic Sans MS" w:cs="Times New Roman"/>
          <w:lang w:eastAsia="fr-FR"/>
        </w:rPr>
        <w:t>.</w:t>
      </w:r>
    </w:p>
    <w:p w14:paraId="6996DD9A" w14:textId="77777777" w:rsidR="00193192" w:rsidRPr="00C11B91" w:rsidRDefault="00193192" w:rsidP="00C11B91">
      <w:pPr>
        <w:spacing w:after="0" w:line="240" w:lineRule="auto"/>
        <w:jc w:val="both"/>
        <w:rPr>
          <w:rFonts w:ascii="Comic Sans MS" w:eastAsia="Times New Roman" w:hAnsi="Comic Sans MS" w:cs="Times New Roman"/>
          <w:lang w:eastAsia="fr-FR"/>
        </w:rPr>
      </w:pPr>
      <w:r w:rsidRPr="00C11B91">
        <w:rPr>
          <w:rFonts w:ascii="Comic Sans MS" w:eastAsia="Times New Roman" w:hAnsi="Comic Sans MS" w:cs="Times New Roman"/>
          <w:lang w:eastAsia="fr-FR"/>
        </w:rPr>
        <w:t>Pourtant, le fléau de la corruption endémique, qui grève les perspectives de développement du pays depuis son indépendance en 1991, conduit à s’interroger sur le risque élevé de détournement de cette aide financière massive au profit d’individus corrompus et de puissants réseaux criminels.</w:t>
      </w:r>
    </w:p>
    <w:p w14:paraId="5BC03A61" w14:textId="77777777" w:rsidR="00193192" w:rsidRPr="00C11B91" w:rsidRDefault="00193192" w:rsidP="00C11B91">
      <w:pPr>
        <w:spacing w:after="0" w:line="240" w:lineRule="auto"/>
        <w:jc w:val="both"/>
        <w:outlineLvl w:val="2"/>
        <w:rPr>
          <w:rFonts w:ascii="Comic Sans MS" w:eastAsia="Times New Roman" w:hAnsi="Comic Sans MS" w:cs="Times New Roman"/>
          <w:lang w:eastAsia="fr-FR"/>
        </w:rPr>
      </w:pPr>
      <w:r w:rsidRPr="00C11B91">
        <w:rPr>
          <w:rFonts w:ascii="Comic Sans MS" w:eastAsia="Times New Roman" w:hAnsi="Comic Sans MS" w:cs="Times New Roman"/>
          <w:lang w:eastAsia="fr-FR"/>
        </w:rPr>
        <w:t>Le constat unanime du fléau de la corruption à grande échelle</w:t>
      </w:r>
    </w:p>
    <w:p w14:paraId="788C887B" w14:textId="587E5AE6" w:rsidR="00193192" w:rsidRPr="00C11B91" w:rsidRDefault="00193192" w:rsidP="00C11B91">
      <w:pPr>
        <w:spacing w:after="0" w:line="240" w:lineRule="auto"/>
        <w:jc w:val="both"/>
        <w:rPr>
          <w:rFonts w:ascii="Comic Sans MS" w:eastAsia="Times New Roman" w:hAnsi="Comic Sans MS" w:cs="Times New Roman"/>
          <w:lang w:eastAsia="fr-FR"/>
        </w:rPr>
      </w:pPr>
      <w:r w:rsidRPr="00C11B91">
        <w:rPr>
          <w:rFonts w:ascii="Comic Sans MS" w:eastAsia="Times New Roman" w:hAnsi="Comic Sans MS" w:cs="Times New Roman"/>
          <w:lang w:eastAsia="fr-FR"/>
        </w:rPr>
        <w:t xml:space="preserve">Peu avant la guerre, la communauté internationale, tout comme le peuple ukrainien, étaient unanimes dans leur condamnation de la corruption en Ukraine. En 2020, selon l’ONG </w:t>
      </w:r>
      <w:proofErr w:type="spellStart"/>
      <w:r w:rsidRPr="00C11B91">
        <w:rPr>
          <w:rFonts w:ascii="Comic Sans MS" w:eastAsia="Times New Roman" w:hAnsi="Comic Sans MS" w:cs="Times New Roman"/>
          <w:lang w:eastAsia="fr-FR"/>
        </w:rPr>
        <w:t>Transparency</w:t>
      </w:r>
      <w:proofErr w:type="spellEnd"/>
      <w:r w:rsidRPr="00C11B91">
        <w:rPr>
          <w:rFonts w:ascii="Comic Sans MS" w:eastAsia="Times New Roman" w:hAnsi="Comic Sans MS" w:cs="Times New Roman"/>
          <w:lang w:eastAsia="fr-FR"/>
        </w:rPr>
        <w:t xml:space="preserve"> International, l’Ukraine partageait le même indice de perception de la corruption que la Zambie ou la Sierra Leone. Pour sa part, en 2021, la Cour des comptes européenne (CCE), qui se veut être la « gardienne des finances de l’UE », avait déploré, dans un rapport intitulé </w:t>
      </w:r>
      <w:r w:rsidRPr="00C11B91">
        <w:rPr>
          <w:rFonts w:ascii="Comic Sans MS" w:eastAsia="Times New Roman" w:hAnsi="Comic Sans MS" w:cs="Times New Roman"/>
          <w:i/>
          <w:iCs/>
          <w:lang w:eastAsia="fr-FR"/>
        </w:rPr>
        <w:t>Réduire la grande corruption en Ukraine</w:t>
      </w:r>
      <w:r w:rsidRPr="00C11B91">
        <w:rPr>
          <w:rFonts w:ascii="Comic Sans MS" w:eastAsia="Times New Roman" w:hAnsi="Comic Sans MS" w:cs="Times New Roman"/>
          <w:lang w:eastAsia="fr-FR"/>
        </w:rPr>
        <w:t xml:space="preserve"> que l’action de l’UE en faveur des réformes en Ukraine était inefficace en matière de lutte contre ce fléau. Elle ajoutait que des dizaines de milliards d’euros étaient perdus chaque année à cause de la corruption, des flux financiers illicites et du blanchiment de capitaux. Force était de constater le caractère endémique de ce fléau, qui avait pour conséquence d’entraver la concurrence et la croissance et de nuire au processus démocratique dans le pays. La CCE se disait alors </w:t>
      </w:r>
      <w:r w:rsidRPr="00C11B91">
        <w:rPr>
          <w:rFonts w:ascii="Comic Sans MS" w:eastAsia="Times New Roman" w:hAnsi="Comic Sans MS" w:cs="Times New Roman"/>
          <w:i/>
          <w:iCs/>
          <w:lang w:eastAsia="fr-FR"/>
        </w:rPr>
        <w:t xml:space="preserve">« consciente, depuis longtemps, des accointances entre oligarques, hauts fonctionnaires, responsables politiques, système judiciaire et entreprises publiques » </w:t>
      </w:r>
      <w:r w:rsidRPr="00C11B91">
        <w:rPr>
          <w:rFonts w:ascii="Comic Sans MS" w:eastAsia="Times New Roman" w:hAnsi="Comic Sans MS" w:cs="Times New Roman"/>
          <w:lang w:eastAsia="fr-FR"/>
        </w:rPr>
        <w:t xml:space="preserve">en </w:t>
      </w:r>
      <w:r w:rsidRPr="00C11B91">
        <w:rPr>
          <w:rFonts w:ascii="Comic Sans MS" w:eastAsia="Times New Roman" w:hAnsi="Comic Sans MS" w:cs="Times New Roman"/>
          <w:lang w:eastAsia="fr-FR"/>
        </w:rPr>
        <w:lastRenderedPageBreak/>
        <w:t xml:space="preserve">Ukraine, et regrettait vivement l’échec de l’Union européenne à élaborer </w:t>
      </w:r>
      <w:r w:rsidRPr="00C11B91">
        <w:rPr>
          <w:rFonts w:ascii="Comic Sans MS" w:eastAsia="Times New Roman" w:hAnsi="Comic Sans MS" w:cs="Times New Roman"/>
          <w:i/>
          <w:iCs/>
          <w:lang w:eastAsia="fr-FR"/>
        </w:rPr>
        <w:t>« une véritable stratégie ciblant la grande corruption».</w:t>
      </w:r>
    </w:p>
    <w:p w14:paraId="425CD071" w14:textId="77777777" w:rsidR="00193192" w:rsidRPr="00C11B91" w:rsidRDefault="00193192" w:rsidP="00C11B91">
      <w:pPr>
        <w:spacing w:after="0" w:line="240" w:lineRule="auto"/>
        <w:jc w:val="both"/>
        <w:outlineLvl w:val="2"/>
        <w:rPr>
          <w:rFonts w:ascii="Comic Sans MS" w:eastAsia="Times New Roman" w:hAnsi="Comic Sans MS" w:cs="Times New Roman"/>
          <w:lang w:eastAsia="fr-FR"/>
        </w:rPr>
      </w:pPr>
      <w:r w:rsidRPr="00C11B91">
        <w:rPr>
          <w:rFonts w:ascii="Comic Sans MS" w:eastAsia="Times New Roman" w:hAnsi="Comic Sans MS" w:cs="Times New Roman"/>
          <w:lang w:eastAsia="fr-FR"/>
        </w:rPr>
        <w:t>L’octroi d’une aide financière colossale par les Occidentaux</w:t>
      </w:r>
    </w:p>
    <w:p w14:paraId="7DB55F55" w14:textId="77777777" w:rsidR="00DA664D" w:rsidRPr="00C11B91" w:rsidRDefault="00193192" w:rsidP="00C11B91">
      <w:pPr>
        <w:spacing w:after="0" w:line="240" w:lineRule="auto"/>
        <w:jc w:val="both"/>
        <w:rPr>
          <w:rFonts w:ascii="Comic Sans MS" w:eastAsia="Times New Roman" w:hAnsi="Comic Sans MS" w:cs="Times New Roman"/>
          <w:lang w:eastAsia="fr-FR"/>
        </w:rPr>
      </w:pPr>
      <w:r w:rsidRPr="00C11B91">
        <w:rPr>
          <w:rFonts w:ascii="Comic Sans MS" w:eastAsia="Times New Roman" w:hAnsi="Comic Sans MS" w:cs="Times New Roman"/>
          <w:lang w:eastAsia="fr-FR"/>
        </w:rPr>
        <w:t xml:space="preserve">Sans aucune garantie que les fonds débloqués seront utilisés comme prévu, les Occidentaux – outre l’aide militaire qu’ils fournissent massivement à l’Ukraine – lui ont octroyé une aide financière d’une ampleur inégalée depuis la Seconde Guerre mondiale :  </w:t>
      </w:r>
    </w:p>
    <w:p w14:paraId="32172961" w14:textId="6B9A041E" w:rsidR="00DA664D" w:rsidRPr="00C11B91" w:rsidRDefault="00193192" w:rsidP="00C11B91">
      <w:pPr>
        <w:pStyle w:val="Paragraphedeliste"/>
        <w:numPr>
          <w:ilvl w:val="0"/>
          <w:numId w:val="1"/>
        </w:numPr>
        <w:spacing w:after="0" w:line="240" w:lineRule="auto"/>
        <w:jc w:val="both"/>
        <w:rPr>
          <w:rFonts w:ascii="Comic Sans MS" w:eastAsia="Times New Roman" w:hAnsi="Comic Sans MS" w:cs="Times New Roman"/>
          <w:lang w:eastAsia="fr-FR"/>
        </w:rPr>
      </w:pPr>
      <w:r w:rsidRPr="00C11B91">
        <w:rPr>
          <w:rFonts w:ascii="Comic Sans MS" w:eastAsia="Times New Roman" w:hAnsi="Comic Sans MS" w:cs="Times New Roman"/>
          <w:lang w:eastAsia="fr-FR"/>
        </w:rPr>
        <w:t xml:space="preserve">États-Unis (40 Mds$, soit plus que le PIB du Cameroun selon </w:t>
      </w:r>
      <w:r w:rsidRPr="00C11B91">
        <w:rPr>
          <w:rFonts w:ascii="Comic Sans MS" w:eastAsia="Times New Roman" w:hAnsi="Comic Sans MS" w:cs="Times New Roman"/>
          <w:i/>
          <w:iCs/>
          <w:lang w:eastAsia="fr-FR"/>
        </w:rPr>
        <w:t>Le Figaro</w:t>
      </w:r>
      <w:r w:rsidRPr="00C11B91">
        <w:rPr>
          <w:rFonts w:ascii="Comic Sans MS" w:eastAsia="Times New Roman" w:hAnsi="Comic Sans MS" w:cs="Times New Roman"/>
          <w:lang w:eastAsia="fr-FR"/>
        </w:rPr>
        <w:t xml:space="preserve"> ; </w:t>
      </w:r>
    </w:p>
    <w:p w14:paraId="3D9B3E7D" w14:textId="77777777" w:rsidR="00DA664D" w:rsidRPr="00C11B91" w:rsidRDefault="00193192" w:rsidP="00C11B91">
      <w:pPr>
        <w:pStyle w:val="Paragraphedeliste"/>
        <w:numPr>
          <w:ilvl w:val="0"/>
          <w:numId w:val="1"/>
        </w:numPr>
        <w:spacing w:after="0" w:line="240" w:lineRule="auto"/>
        <w:jc w:val="both"/>
        <w:rPr>
          <w:rFonts w:ascii="Comic Sans MS" w:eastAsia="Times New Roman" w:hAnsi="Comic Sans MS" w:cs="Times New Roman"/>
          <w:lang w:eastAsia="fr-FR"/>
        </w:rPr>
      </w:pPr>
      <w:r w:rsidRPr="00C11B91">
        <w:rPr>
          <w:rFonts w:ascii="Comic Sans MS" w:eastAsia="Times New Roman" w:hAnsi="Comic Sans MS" w:cs="Times New Roman"/>
          <w:lang w:eastAsia="fr-FR"/>
        </w:rPr>
        <w:t xml:space="preserve">G7 (19,8 Mds$) ; </w:t>
      </w:r>
    </w:p>
    <w:p w14:paraId="07B9097F" w14:textId="77777777" w:rsidR="00DA664D" w:rsidRPr="00C11B91" w:rsidRDefault="00193192" w:rsidP="00C11B91">
      <w:pPr>
        <w:pStyle w:val="Paragraphedeliste"/>
        <w:numPr>
          <w:ilvl w:val="0"/>
          <w:numId w:val="1"/>
        </w:numPr>
        <w:spacing w:after="0" w:line="240" w:lineRule="auto"/>
        <w:jc w:val="both"/>
        <w:rPr>
          <w:rFonts w:ascii="Comic Sans MS" w:eastAsia="Times New Roman" w:hAnsi="Comic Sans MS" w:cs="Times New Roman"/>
          <w:lang w:eastAsia="fr-FR"/>
        </w:rPr>
      </w:pPr>
      <w:r w:rsidRPr="00C11B91">
        <w:rPr>
          <w:rFonts w:ascii="Comic Sans MS" w:eastAsia="Times New Roman" w:hAnsi="Comic Sans MS" w:cs="Times New Roman"/>
          <w:lang w:eastAsia="fr-FR"/>
        </w:rPr>
        <w:t xml:space="preserve">UE (10 Mds pour les réfugiés en avril 2022 et 6 Mds € pour l’aide à la reconstruction en mai 2022) ; </w:t>
      </w:r>
    </w:p>
    <w:p w14:paraId="60ADF692" w14:textId="77777777" w:rsidR="00DA664D" w:rsidRPr="00C11B91" w:rsidRDefault="00193192" w:rsidP="00C11B91">
      <w:pPr>
        <w:pStyle w:val="Paragraphedeliste"/>
        <w:numPr>
          <w:ilvl w:val="0"/>
          <w:numId w:val="1"/>
        </w:numPr>
        <w:spacing w:after="0" w:line="240" w:lineRule="auto"/>
        <w:jc w:val="both"/>
        <w:rPr>
          <w:rFonts w:ascii="Comic Sans MS" w:eastAsia="Times New Roman" w:hAnsi="Comic Sans MS" w:cs="Times New Roman"/>
          <w:lang w:eastAsia="fr-FR"/>
        </w:rPr>
      </w:pPr>
      <w:r w:rsidRPr="00C11B91">
        <w:rPr>
          <w:rFonts w:ascii="Comic Sans MS" w:eastAsia="Times New Roman" w:hAnsi="Comic Sans MS" w:cs="Times New Roman"/>
          <w:lang w:eastAsia="fr-FR"/>
        </w:rPr>
        <w:t xml:space="preserve">France (300 millions €) ; </w:t>
      </w:r>
    </w:p>
    <w:p w14:paraId="0CD92A0A" w14:textId="77777777" w:rsidR="00DA664D" w:rsidRPr="00C11B91" w:rsidRDefault="00193192" w:rsidP="00C11B91">
      <w:pPr>
        <w:pStyle w:val="Paragraphedeliste"/>
        <w:numPr>
          <w:ilvl w:val="0"/>
          <w:numId w:val="1"/>
        </w:numPr>
        <w:spacing w:after="0" w:line="240" w:lineRule="auto"/>
        <w:jc w:val="both"/>
        <w:rPr>
          <w:rFonts w:ascii="Comic Sans MS" w:eastAsia="Times New Roman" w:hAnsi="Comic Sans MS" w:cs="Times New Roman"/>
          <w:lang w:eastAsia="fr-FR"/>
        </w:rPr>
      </w:pPr>
      <w:r w:rsidRPr="00C11B91">
        <w:rPr>
          <w:rFonts w:ascii="Comic Sans MS" w:eastAsia="Times New Roman" w:hAnsi="Comic Sans MS" w:cs="Times New Roman"/>
          <w:lang w:eastAsia="fr-FR"/>
        </w:rPr>
        <w:t xml:space="preserve">FMI (1,4 Mds d’aide d’urgence), </w:t>
      </w:r>
    </w:p>
    <w:p w14:paraId="022E83CC" w14:textId="0C884C1E" w:rsidR="00DA664D" w:rsidRPr="00C11B91" w:rsidRDefault="00193192" w:rsidP="00C11B91">
      <w:pPr>
        <w:pStyle w:val="Paragraphedeliste"/>
        <w:numPr>
          <w:ilvl w:val="0"/>
          <w:numId w:val="1"/>
        </w:numPr>
        <w:spacing w:after="0" w:line="240" w:lineRule="auto"/>
        <w:jc w:val="both"/>
        <w:rPr>
          <w:rFonts w:ascii="Comic Sans MS" w:eastAsia="Times New Roman" w:hAnsi="Comic Sans MS" w:cs="Times New Roman"/>
          <w:lang w:eastAsia="fr-FR"/>
        </w:rPr>
      </w:pPr>
      <w:r w:rsidRPr="00C11B91">
        <w:rPr>
          <w:rFonts w:ascii="Comic Sans MS" w:eastAsia="Times New Roman" w:hAnsi="Comic Sans MS" w:cs="Times New Roman"/>
          <w:lang w:eastAsia="fr-FR"/>
        </w:rPr>
        <w:t xml:space="preserve">sans compter une myriade d’autres initiatives de la part d’autres pays, d’institutions ou de personnes privées, comme l’illustre la collecte de 36 millions $ dans le cadre de la nouvelle plateforme de financement participatif « United 24 » du président </w:t>
      </w:r>
      <w:proofErr w:type="spellStart"/>
      <w:r w:rsidRPr="00C11B91">
        <w:rPr>
          <w:rFonts w:ascii="Comic Sans MS" w:eastAsia="Times New Roman" w:hAnsi="Comic Sans MS" w:cs="Times New Roman"/>
          <w:lang w:eastAsia="fr-FR"/>
        </w:rPr>
        <w:t>Zelensky</w:t>
      </w:r>
      <w:proofErr w:type="spellEnd"/>
      <w:r w:rsidR="00C11B91">
        <w:rPr>
          <w:rFonts w:ascii="Comic Sans MS" w:eastAsia="Times New Roman" w:hAnsi="Comic Sans MS" w:cs="Times New Roman"/>
          <w:lang w:eastAsia="fr-FR"/>
        </w:rPr>
        <w:t>,</w:t>
      </w:r>
      <w:r w:rsidRPr="00C11B91">
        <w:rPr>
          <w:rFonts w:ascii="Comic Sans MS" w:eastAsia="Times New Roman" w:hAnsi="Comic Sans MS" w:cs="Times New Roman"/>
          <w:lang w:eastAsia="fr-FR"/>
        </w:rPr>
        <w:t xml:space="preserve"> </w:t>
      </w:r>
    </w:p>
    <w:p w14:paraId="4D82EB7F" w14:textId="63DCE4B3" w:rsidR="00DA664D" w:rsidRPr="00C11B91" w:rsidRDefault="00193192" w:rsidP="00C11B91">
      <w:pPr>
        <w:pStyle w:val="Paragraphedeliste"/>
        <w:numPr>
          <w:ilvl w:val="0"/>
          <w:numId w:val="1"/>
        </w:numPr>
        <w:spacing w:after="0" w:line="240" w:lineRule="auto"/>
        <w:jc w:val="both"/>
        <w:rPr>
          <w:rFonts w:ascii="Comic Sans MS" w:eastAsia="Times New Roman" w:hAnsi="Comic Sans MS" w:cs="Times New Roman"/>
          <w:lang w:eastAsia="fr-FR"/>
        </w:rPr>
      </w:pPr>
      <w:r w:rsidRPr="00C11B91">
        <w:rPr>
          <w:rFonts w:ascii="Comic Sans MS" w:eastAsia="Times New Roman" w:hAnsi="Comic Sans MS" w:cs="Times New Roman"/>
          <w:lang w:eastAsia="fr-FR"/>
        </w:rPr>
        <w:t xml:space="preserve">Le 18 mai 2022, la présidente de la Commission européenne Ursula Von Der </w:t>
      </w:r>
      <w:proofErr w:type="spellStart"/>
      <w:r w:rsidRPr="00C11B91">
        <w:rPr>
          <w:rFonts w:ascii="Comic Sans MS" w:eastAsia="Times New Roman" w:hAnsi="Comic Sans MS" w:cs="Times New Roman"/>
          <w:lang w:eastAsia="fr-FR"/>
        </w:rPr>
        <w:t>Leyen</w:t>
      </w:r>
      <w:proofErr w:type="spellEnd"/>
      <w:r w:rsidRPr="00C11B91">
        <w:rPr>
          <w:rFonts w:ascii="Comic Sans MS" w:eastAsia="Times New Roman" w:hAnsi="Comic Sans MS" w:cs="Times New Roman"/>
          <w:lang w:eastAsia="fr-FR"/>
        </w:rPr>
        <w:t xml:space="preserve"> a annoncé son projet d’emprunt commun auprès des États de l’UE – inspiré du plan de relance post-Covid – pour financer la reconstruction de l’Ukraine et la mise en place d’un nouvel instrument financier intitulé </w:t>
      </w:r>
      <w:proofErr w:type="spellStart"/>
      <w:r w:rsidRPr="00C11B91">
        <w:rPr>
          <w:rFonts w:ascii="Comic Sans MS" w:eastAsia="Times New Roman" w:hAnsi="Comic Sans MS" w:cs="Times New Roman"/>
          <w:i/>
          <w:iCs/>
          <w:lang w:eastAsia="fr-FR"/>
        </w:rPr>
        <w:t>RebuildUkraine</w:t>
      </w:r>
      <w:proofErr w:type="spellEnd"/>
      <w:r w:rsidRPr="00C11B91">
        <w:rPr>
          <w:rFonts w:ascii="Comic Sans MS" w:eastAsia="Times New Roman" w:hAnsi="Comic Sans MS" w:cs="Times New Roman"/>
          <w:lang w:eastAsia="fr-FR"/>
        </w:rPr>
        <w:t xml:space="preserve">, adossé au budget européen. </w:t>
      </w:r>
    </w:p>
    <w:p w14:paraId="32913E6F" w14:textId="2C3EA402" w:rsidR="00193192" w:rsidRPr="00C11B91" w:rsidRDefault="00193192" w:rsidP="00C11B91">
      <w:pPr>
        <w:spacing w:after="0" w:line="240" w:lineRule="auto"/>
        <w:jc w:val="both"/>
        <w:rPr>
          <w:rFonts w:ascii="Comic Sans MS" w:eastAsia="Times New Roman" w:hAnsi="Comic Sans MS" w:cs="Times New Roman"/>
          <w:lang w:eastAsia="fr-FR"/>
        </w:rPr>
      </w:pPr>
      <w:r w:rsidRPr="00C11B91">
        <w:rPr>
          <w:rFonts w:ascii="Comic Sans MS" w:eastAsia="Times New Roman" w:hAnsi="Comic Sans MS" w:cs="Times New Roman"/>
          <w:lang w:eastAsia="fr-FR"/>
        </w:rPr>
        <w:t>À cet égard, il est utile de rappeler que, dans les années 1990, une partie importante de l’argent injecté par les institutions internationales (FMI et Banque mondiale) pour sauver la Russie des dégâts causés par la « thérapie de choc », avait été massivement détournée et investie hors de Russie.</w:t>
      </w:r>
    </w:p>
    <w:p w14:paraId="0914E3E5" w14:textId="77777777" w:rsidR="00193192" w:rsidRPr="00C11B91" w:rsidRDefault="00193192" w:rsidP="00C11B91">
      <w:pPr>
        <w:spacing w:after="0" w:line="240" w:lineRule="auto"/>
        <w:jc w:val="both"/>
        <w:outlineLvl w:val="2"/>
        <w:rPr>
          <w:rFonts w:ascii="Comic Sans MS" w:eastAsia="Times New Roman" w:hAnsi="Comic Sans MS" w:cs="Times New Roman"/>
          <w:lang w:eastAsia="fr-FR"/>
        </w:rPr>
      </w:pPr>
      <w:r w:rsidRPr="00C11B91">
        <w:rPr>
          <w:rFonts w:ascii="Comic Sans MS" w:eastAsia="Times New Roman" w:hAnsi="Comic Sans MS" w:cs="Times New Roman"/>
          <w:lang w:eastAsia="fr-FR"/>
        </w:rPr>
        <w:t> L’Ukraine à la traîne des pays européens en dépit de ses richesses naturelles</w:t>
      </w:r>
    </w:p>
    <w:p w14:paraId="01778B2E" w14:textId="77777777" w:rsidR="00DA664D" w:rsidRPr="00C11B91" w:rsidRDefault="00193192" w:rsidP="00C11B91">
      <w:pPr>
        <w:spacing w:after="0" w:line="240" w:lineRule="auto"/>
        <w:jc w:val="both"/>
        <w:rPr>
          <w:rFonts w:ascii="Comic Sans MS" w:eastAsia="Times New Roman" w:hAnsi="Comic Sans MS" w:cs="Times New Roman"/>
          <w:lang w:eastAsia="fr-FR"/>
        </w:rPr>
      </w:pPr>
      <w:r w:rsidRPr="00C11B91">
        <w:rPr>
          <w:rFonts w:ascii="Comic Sans MS" w:eastAsia="Times New Roman" w:hAnsi="Comic Sans MS" w:cs="Times New Roman"/>
          <w:lang w:eastAsia="fr-FR"/>
        </w:rPr>
        <w:t xml:space="preserve"> Ce pays de 44 millions d’habitants et d’une superficie comparable à celle de la France occupe les premières places mondiales dans la production agricole (tournesol, blé, maïs, sarrasin, pommes de terre, etc.) et détient 5% des ressources minérales de la planète. </w:t>
      </w:r>
    </w:p>
    <w:p w14:paraId="62232605" w14:textId="77777777" w:rsidR="00DA664D" w:rsidRPr="00C11B91" w:rsidRDefault="00193192" w:rsidP="00C11B91">
      <w:pPr>
        <w:spacing w:after="0" w:line="240" w:lineRule="auto"/>
        <w:jc w:val="both"/>
        <w:rPr>
          <w:rFonts w:ascii="Comic Sans MS" w:eastAsia="Times New Roman" w:hAnsi="Comic Sans MS" w:cs="Times New Roman"/>
          <w:lang w:eastAsia="fr-FR"/>
        </w:rPr>
      </w:pPr>
      <w:r w:rsidRPr="00C11B91">
        <w:rPr>
          <w:rFonts w:ascii="Comic Sans MS" w:eastAsia="Times New Roman" w:hAnsi="Comic Sans MS" w:cs="Times New Roman"/>
          <w:lang w:eastAsia="fr-FR"/>
        </w:rPr>
        <w:t xml:space="preserve">Paradoxalement, le PIB par habitant de ce pays européen ne dépasse pas 3 726 dollars, soit légèrement supérieur à celui de l’Algérie, de la Tunisie ou des Philippines, bien loin derrière les USA (63 000 $), l’Allemagne (47 000 $), la France (38 000 $), la Russie ou la Chine (10 000 $) ou la Turquie (8 738 $). </w:t>
      </w:r>
    </w:p>
    <w:p w14:paraId="79768480" w14:textId="3AAD9FE6" w:rsidR="00DA664D" w:rsidRPr="00C11B91" w:rsidRDefault="00193192" w:rsidP="00C11B91">
      <w:pPr>
        <w:spacing w:after="0" w:line="240" w:lineRule="auto"/>
        <w:jc w:val="both"/>
        <w:rPr>
          <w:rFonts w:ascii="Comic Sans MS" w:eastAsia="Times New Roman" w:hAnsi="Comic Sans MS" w:cs="Times New Roman"/>
          <w:lang w:eastAsia="fr-FR"/>
        </w:rPr>
      </w:pPr>
      <w:r w:rsidRPr="00C11B91">
        <w:rPr>
          <w:rFonts w:ascii="Comic Sans MS" w:eastAsia="Times New Roman" w:hAnsi="Comic Sans MS" w:cs="Times New Roman"/>
          <w:lang w:eastAsia="fr-FR"/>
        </w:rPr>
        <w:t xml:space="preserve">Le salaire mensuel moyen en Ukraine ne dépasse pas 485 €. Quant aux pensions de retraite, près de 70% des retraités ukrainiens perçoivent une pension inférieure à 116 euros par mois. À noter que selon le UNHCR, par décision du gouvernement ukrainien, à compter de décembre 2014, 560 000 retraités vivant dans les républiques séparatistes pro-russes du Donbass n’ont plus perçu leur pension de retraite et ont été réduits à un état de misère, se nourrissant de pain et de thé. </w:t>
      </w:r>
    </w:p>
    <w:p w14:paraId="52C62360" w14:textId="77777777" w:rsidR="00193192" w:rsidRPr="00C11B91" w:rsidRDefault="00193192" w:rsidP="00C11B91">
      <w:pPr>
        <w:spacing w:after="0" w:line="240" w:lineRule="auto"/>
        <w:jc w:val="both"/>
        <w:rPr>
          <w:rFonts w:ascii="Comic Sans MS" w:eastAsia="Times New Roman" w:hAnsi="Comic Sans MS" w:cs="Times New Roman"/>
          <w:lang w:eastAsia="fr-FR"/>
        </w:rPr>
      </w:pPr>
      <w:r w:rsidRPr="00C11B91">
        <w:rPr>
          <w:rFonts w:ascii="Comic Sans MS" w:eastAsia="Times New Roman" w:hAnsi="Comic Sans MS" w:cs="Times New Roman"/>
          <w:lang w:eastAsia="fr-FR"/>
        </w:rPr>
        <w:t>Comment expliquer un tel décalage entre les immenses richesses naturelles du pays et le niveau de vie préoccupant de ses habitants ?</w:t>
      </w:r>
    </w:p>
    <w:p w14:paraId="164803E7" w14:textId="77777777" w:rsidR="00193192" w:rsidRPr="00C11B91" w:rsidRDefault="00193192" w:rsidP="00C11B91">
      <w:pPr>
        <w:spacing w:after="0" w:line="240" w:lineRule="auto"/>
        <w:jc w:val="both"/>
        <w:outlineLvl w:val="2"/>
        <w:rPr>
          <w:rFonts w:ascii="Comic Sans MS" w:eastAsia="Times New Roman" w:hAnsi="Comic Sans MS" w:cs="Times New Roman"/>
          <w:lang w:eastAsia="fr-FR"/>
        </w:rPr>
      </w:pPr>
      <w:r w:rsidRPr="00C11B91">
        <w:rPr>
          <w:rFonts w:ascii="Comic Sans MS" w:eastAsia="Times New Roman" w:hAnsi="Comic Sans MS" w:cs="Times New Roman"/>
          <w:lang w:eastAsia="fr-FR"/>
        </w:rPr>
        <w:t>Un pays mis en coupe réglée par les oligarques depuis l’indépendance en 1991</w:t>
      </w:r>
    </w:p>
    <w:p w14:paraId="63CA6937" w14:textId="77777777" w:rsidR="00DA664D" w:rsidRPr="00C11B91" w:rsidRDefault="00193192" w:rsidP="00C11B91">
      <w:pPr>
        <w:spacing w:after="0" w:line="240" w:lineRule="auto"/>
        <w:jc w:val="both"/>
        <w:rPr>
          <w:rFonts w:ascii="Comic Sans MS" w:eastAsia="Times New Roman" w:hAnsi="Comic Sans MS" w:cs="Times New Roman"/>
          <w:lang w:eastAsia="fr-FR"/>
        </w:rPr>
      </w:pPr>
      <w:r w:rsidRPr="00C11B91">
        <w:rPr>
          <w:rFonts w:ascii="Comic Sans MS" w:eastAsia="Times New Roman" w:hAnsi="Comic Sans MS" w:cs="Times New Roman"/>
          <w:lang w:eastAsia="fr-FR"/>
        </w:rPr>
        <w:t xml:space="preserve">À l’instar de la Russie et d’autres anciennes républiques soviétiques, l’Ukraine a été l’objet de vastes prédations de la part d’une poignée d’individus qui, dès le début des années 1990, </w:t>
      </w:r>
      <w:r w:rsidRPr="00C11B91">
        <w:rPr>
          <w:rFonts w:ascii="Comic Sans MS" w:eastAsia="Times New Roman" w:hAnsi="Comic Sans MS" w:cs="Times New Roman"/>
          <w:lang w:eastAsia="fr-FR"/>
        </w:rPr>
        <w:lastRenderedPageBreak/>
        <w:t xml:space="preserve">se sont accaparé frauduleusement les matières premières et les industries du pays, dans le cadre du processus de privatisation des biens publics. </w:t>
      </w:r>
    </w:p>
    <w:p w14:paraId="67335AF0" w14:textId="5CBE821E" w:rsidR="00DA664D" w:rsidRPr="00C11B91" w:rsidRDefault="00193192" w:rsidP="00C11B91">
      <w:pPr>
        <w:spacing w:after="0" w:line="240" w:lineRule="auto"/>
        <w:jc w:val="both"/>
        <w:rPr>
          <w:rFonts w:ascii="Comic Sans MS" w:eastAsia="Times New Roman" w:hAnsi="Comic Sans MS" w:cs="Times New Roman"/>
          <w:lang w:eastAsia="fr-FR"/>
        </w:rPr>
      </w:pPr>
      <w:r w:rsidRPr="00C11B91">
        <w:rPr>
          <w:rFonts w:ascii="Comic Sans MS" w:eastAsia="Times New Roman" w:hAnsi="Comic Sans MS" w:cs="Times New Roman"/>
          <w:lang w:eastAsia="fr-FR"/>
        </w:rPr>
        <w:t xml:space="preserve">Le criminologue Alain Bauer a analysé le phénomène de cette captation des richesses de l’État par une poignée de proches du pouvoir en Russie. </w:t>
      </w:r>
      <w:r w:rsidRPr="00C11B91">
        <w:rPr>
          <w:rFonts w:ascii="Comic Sans MS" w:eastAsia="Times New Roman" w:hAnsi="Comic Sans MS" w:cs="Times New Roman"/>
          <w:i/>
          <w:iCs/>
          <w:lang w:eastAsia="fr-FR"/>
        </w:rPr>
        <w:t>« Ces nouveaux barons voleurs sont connus sous le nom d’oligarques »</w:t>
      </w:r>
      <w:r w:rsidRPr="00C11B91">
        <w:rPr>
          <w:rFonts w:ascii="Comic Sans MS" w:eastAsia="Times New Roman" w:hAnsi="Comic Sans MS" w:cs="Times New Roman"/>
          <w:lang w:eastAsia="fr-FR"/>
        </w:rPr>
        <w:t xml:space="preserve"> écrivait-il en 2012. Ce constat s’applique de la même manière à l’Ukraine. </w:t>
      </w:r>
    </w:p>
    <w:p w14:paraId="3834A1F9" w14:textId="5F7E7696" w:rsidR="00DA664D" w:rsidRPr="00C11B91" w:rsidRDefault="00193192" w:rsidP="00C11B91">
      <w:pPr>
        <w:spacing w:after="0" w:line="240" w:lineRule="auto"/>
        <w:jc w:val="both"/>
        <w:rPr>
          <w:rFonts w:ascii="Comic Sans MS" w:eastAsia="Times New Roman" w:hAnsi="Comic Sans MS" w:cs="Times New Roman"/>
          <w:lang w:eastAsia="fr-FR"/>
        </w:rPr>
      </w:pPr>
      <w:r w:rsidRPr="00C11B91">
        <w:rPr>
          <w:rFonts w:ascii="Comic Sans MS" w:eastAsia="Times New Roman" w:hAnsi="Comic Sans MS" w:cs="Times New Roman"/>
          <w:lang w:eastAsia="fr-FR"/>
        </w:rPr>
        <w:t xml:space="preserve">La journaliste Sophie </w:t>
      </w:r>
      <w:proofErr w:type="spellStart"/>
      <w:r w:rsidRPr="00C11B91">
        <w:rPr>
          <w:rFonts w:ascii="Comic Sans MS" w:eastAsia="Times New Roman" w:hAnsi="Comic Sans MS" w:cs="Times New Roman"/>
          <w:lang w:eastAsia="fr-FR"/>
        </w:rPr>
        <w:t>Lambroschini</w:t>
      </w:r>
      <w:proofErr w:type="spellEnd"/>
      <w:r w:rsidRPr="00C11B91">
        <w:rPr>
          <w:rFonts w:ascii="Comic Sans MS" w:eastAsia="Times New Roman" w:hAnsi="Comic Sans MS" w:cs="Times New Roman"/>
          <w:lang w:eastAsia="fr-FR"/>
        </w:rPr>
        <w:t xml:space="preserve"> écrit dans un article sur le système oligarchique ukrainien que </w:t>
      </w:r>
      <w:r w:rsidRPr="00C11B91">
        <w:rPr>
          <w:rFonts w:ascii="Comic Sans MS" w:eastAsia="Times New Roman" w:hAnsi="Comic Sans MS" w:cs="Times New Roman"/>
          <w:i/>
          <w:iCs/>
          <w:lang w:eastAsia="fr-FR"/>
        </w:rPr>
        <w:t>« la stabilité du régime politique ukrainien repose sur un équilibre précaire : les rapports de force entre quelques clans politico-économiques puissants, nés de la faiblesse du nouvel État ukrainien après l’éclatement de l’URSS en 1991 ».</w:t>
      </w:r>
      <w:r w:rsidRPr="00C11B91">
        <w:rPr>
          <w:rFonts w:ascii="Comic Sans MS" w:eastAsia="Times New Roman" w:hAnsi="Comic Sans MS" w:cs="Times New Roman"/>
          <w:lang w:eastAsia="fr-FR"/>
        </w:rPr>
        <w:t xml:space="preserve"> </w:t>
      </w:r>
      <w:r w:rsidRPr="00C11B91">
        <w:rPr>
          <w:rFonts w:ascii="Comic Sans MS" w:eastAsia="Times New Roman" w:hAnsi="Comic Sans MS" w:cs="Times New Roman"/>
          <w:i/>
          <w:iCs/>
          <w:lang w:eastAsia="fr-FR"/>
        </w:rPr>
        <w:t>« Pendant de nombreuses années, ajoute-t-elle, ils ont assuré la défense et la multiplication de leurs fortunes par le biais de privatisations à prix cassés, l’octroi préférentiel de licences d’exploitation et de subventions publiques, l’impunité accordée à des pratiques d’extorsion par la force, parfois en lien avec des réseaux criminels ».</w:t>
      </w:r>
      <w:r w:rsidRPr="00C11B91">
        <w:rPr>
          <w:rFonts w:ascii="Comic Sans MS" w:eastAsia="Times New Roman" w:hAnsi="Comic Sans MS" w:cs="Times New Roman"/>
          <w:lang w:eastAsia="fr-FR"/>
        </w:rPr>
        <w:t xml:space="preserve"> </w:t>
      </w:r>
    </w:p>
    <w:p w14:paraId="56369FCD" w14:textId="7C839881" w:rsidR="00193192" w:rsidRPr="00C11B91" w:rsidRDefault="00193192" w:rsidP="00C11B91">
      <w:pPr>
        <w:spacing w:after="0" w:line="240" w:lineRule="auto"/>
        <w:jc w:val="both"/>
        <w:rPr>
          <w:rFonts w:ascii="Comic Sans MS" w:eastAsia="Times New Roman" w:hAnsi="Comic Sans MS" w:cs="Times New Roman"/>
          <w:lang w:eastAsia="fr-FR"/>
        </w:rPr>
      </w:pPr>
      <w:r w:rsidRPr="00C11B91">
        <w:rPr>
          <w:rFonts w:ascii="Comic Sans MS" w:eastAsia="Times New Roman" w:hAnsi="Comic Sans MS" w:cs="Times New Roman"/>
          <w:lang w:eastAsia="fr-FR"/>
        </w:rPr>
        <w:t>Depuis l‘indépendance, les dirigeants ukrainiens sont souvent eux-mêmes des oligarques, tel l’ancien président Petro Porochenko, à la tête d’un empire commercial, dont la fortune est estimée à 1,7 milliard de dollars. Impliqué dans de nombreux scandales financiers, il est accusé de haute trahison pour avoir entretenu des liens commerciaux avec les séparatistes pro-russes du Donbass en 2014-2015.</w:t>
      </w:r>
    </w:p>
    <w:p w14:paraId="089D6D38" w14:textId="77777777" w:rsidR="00193192" w:rsidRPr="00C11B91" w:rsidRDefault="00193192" w:rsidP="00C11B91">
      <w:pPr>
        <w:spacing w:after="0" w:line="240" w:lineRule="auto"/>
        <w:jc w:val="both"/>
        <w:outlineLvl w:val="2"/>
        <w:rPr>
          <w:rFonts w:ascii="Comic Sans MS" w:eastAsia="Times New Roman" w:hAnsi="Comic Sans MS" w:cs="Times New Roman"/>
          <w:lang w:eastAsia="fr-FR"/>
        </w:rPr>
      </w:pPr>
      <w:r w:rsidRPr="00C11B91">
        <w:rPr>
          <w:rFonts w:ascii="Comic Sans MS" w:eastAsia="Times New Roman" w:hAnsi="Comic Sans MS" w:cs="Times New Roman"/>
          <w:lang w:eastAsia="fr-FR"/>
        </w:rPr>
        <w:t>Des oligarques tout-puissants à la tête du pays</w:t>
      </w:r>
    </w:p>
    <w:p w14:paraId="1A73A67B" w14:textId="77777777" w:rsidR="00DA664D" w:rsidRPr="00C11B91" w:rsidRDefault="00193192" w:rsidP="00C11B91">
      <w:pPr>
        <w:spacing w:after="0" w:line="240" w:lineRule="auto"/>
        <w:jc w:val="both"/>
        <w:rPr>
          <w:rFonts w:ascii="Comic Sans MS" w:eastAsia="Times New Roman" w:hAnsi="Comic Sans MS" w:cs="Times New Roman"/>
          <w:lang w:eastAsia="fr-FR"/>
        </w:rPr>
      </w:pPr>
      <w:r w:rsidRPr="00C11B91">
        <w:rPr>
          <w:rFonts w:ascii="Comic Sans MS" w:eastAsia="Times New Roman" w:hAnsi="Comic Sans MS" w:cs="Times New Roman"/>
          <w:lang w:eastAsia="fr-FR"/>
        </w:rPr>
        <w:t xml:space="preserve">Le quotidien d’investigation le </w:t>
      </w:r>
      <w:proofErr w:type="spellStart"/>
      <w:r w:rsidRPr="00C11B91">
        <w:rPr>
          <w:rFonts w:ascii="Comic Sans MS" w:eastAsia="Times New Roman" w:hAnsi="Comic Sans MS" w:cs="Times New Roman"/>
          <w:i/>
          <w:iCs/>
          <w:lang w:eastAsia="fr-FR"/>
        </w:rPr>
        <w:t>Kyiv</w:t>
      </w:r>
      <w:proofErr w:type="spellEnd"/>
      <w:r w:rsidRPr="00C11B91">
        <w:rPr>
          <w:rFonts w:ascii="Comic Sans MS" w:eastAsia="Times New Roman" w:hAnsi="Comic Sans MS" w:cs="Times New Roman"/>
          <w:i/>
          <w:iCs/>
          <w:lang w:eastAsia="fr-FR"/>
        </w:rPr>
        <w:t xml:space="preserve"> Post</w:t>
      </w:r>
      <w:r w:rsidRPr="00C11B91">
        <w:rPr>
          <w:rFonts w:ascii="Comic Sans MS" w:eastAsia="Times New Roman" w:hAnsi="Comic Sans MS" w:cs="Times New Roman"/>
          <w:lang w:eastAsia="fr-FR"/>
        </w:rPr>
        <w:t xml:space="preserve">, qui a fait face, depuis 1995, à de nombreuses menaces, a publié, avant la guerre de 2022, une série d’enquêtes sur les oligarques ukrainiens, montrant leur rôle toxique pour l’économie du pays. </w:t>
      </w:r>
    </w:p>
    <w:p w14:paraId="61C68BCE" w14:textId="77777777" w:rsidR="00DA664D" w:rsidRPr="00C11B91" w:rsidRDefault="00193192" w:rsidP="00C11B91">
      <w:pPr>
        <w:spacing w:after="0" w:line="240" w:lineRule="auto"/>
        <w:jc w:val="both"/>
        <w:rPr>
          <w:rFonts w:ascii="Comic Sans MS" w:eastAsia="Times New Roman" w:hAnsi="Comic Sans MS" w:cs="Times New Roman"/>
          <w:lang w:eastAsia="fr-FR"/>
        </w:rPr>
      </w:pPr>
      <w:r w:rsidRPr="00C11B91">
        <w:rPr>
          <w:rFonts w:ascii="Comic Sans MS" w:eastAsia="Times New Roman" w:hAnsi="Comic Sans MS" w:cs="Times New Roman"/>
          <w:lang w:eastAsia="fr-FR"/>
        </w:rPr>
        <w:t xml:space="preserve">Parmi eux, certains soutiennent le pouvoir en place par le biais de parlementaires acquis à leur cause et membres du parti présidentiel « Serviteur du peuple » de </w:t>
      </w:r>
      <w:proofErr w:type="spellStart"/>
      <w:r w:rsidRPr="00C11B91">
        <w:rPr>
          <w:rFonts w:ascii="Comic Sans MS" w:eastAsia="Times New Roman" w:hAnsi="Comic Sans MS" w:cs="Times New Roman"/>
          <w:lang w:eastAsia="fr-FR"/>
        </w:rPr>
        <w:t>Volodymyr</w:t>
      </w:r>
      <w:proofErr w:type="spellEnd"/>
      <w:r w:rsidRPr="00C11B91">
        <w:rPr>
          <w:rFonts w:ascii="Comic Sans MS" w:eastAsia="Times New Roman" w:hAnsi="Comic Sans MS" w:cs="Times New Roman"/>
          <w:lang w:eastAsia="fr-FR"/>
        </w:rPr>
        <w:t xml:space="preserve"> </w:t>
      </w:r>
      <w:proofErr w:type="spellStart"/>
      <w:r w:rsidRPr="00C11B91">
        <w:rPr>
          <w:rFonts w:ascii="Comic Sans MS" w:eastAsia="Times New Roman" w:hAnsi="Comic Sans MS" w:cs="Times New Roman"/>
          <w:lang w:eastAsia="fr-FR"/>
        </w:rPr>
        <w:t>Zelensky</w:t>
      </w:r>
      <w:proofErr w:type="spellEnd"/>
      <w:r w:rsidRPr="00C11B91">
        <w:rPr>
          <w:rFonts w:ascii="Comic Sans MS" w:eastAsia="Times New Roman" w:hAnsi="Comic Sans MS" w:cs="Times New Roman"/>
          <w:lang w:eastAsia="fr-FR"/>
        </w:rPr>
        <w:t xml:space="preserve"> à la Rada ukrainienne. </w:t>
      </w:r>
    </w:p>
    <w:p w14:paraId="18EE56D9" w14:textId="1884A4E5" w:rsidR="00193192" w:rsidRPr="00C11B91" w:rsidRDefault="00193192" w:rsidP="00C11B91">
      <w:pPr>
        <w:spacing w:after="0" w:line="240" w:lineRule="auto"/>
        <w:jc w:val="both"/>
        <w:rPr>
          <w:rFonts w:ascii="Comic Sans MS" w:eastAsia="Times New Roman" w:hAnsi="Comic Sans MS" w:cs="Times New Roman"/>
          <w:lang w:eastAsia="fr-FR"/>
        </w:rPr>
      </w:pPr>
      <w:r w:rsidRPr="00C11B91">
        <w:rPr>
          <w:rFonts w:ascii="Comic Sans MS" w:eastAsia="Times New Roman" w:hAnsi="Comic Sans MS" w:cs="Times New Roman"/>
          <w:lang w:eastAsia="fr-FR"/>
        </w:rPr>
        <w:t xml:space="preserve">Le nom du président est apparu dans les </w:t>
      </w:r>
      <w:hyperlink r:id="rId7" w:history="1">
        <w:r w:rsidRPr="00C11B91">
          <w:rPr>
            <w:rFonts w:ascii="Comic Sans MS" w:eastAsia="Times New Roman" w:hAnsi="Comic Sans MS" w:cs="Times New Roman"/>
            <w:u w:val="single"/>
            <w:lang w:eastAsia="fr-FR"/>
          </w:rPr>
          <w:t>Pandora Papers</w:t>
        </w:r>
      </w:hyperlink>
      <w:r w:rsidRPr="00C11B91">
        <w:rPr>
          <w:rFonts w:ascii="Comic Sans MS" w:eastAsia="Times New Roman" w:hAnsi="Comic Sans MS" w:cs="Times New Roman"/>
          <w:lang w:eastAsia="fr-FR"/>
        </w:rPr>
        <w:t xml:space="preserve">, une enquête internationale menée par 600 journalistes du Consortium international des journalistes d’investigation (CIJI), sur la fraude et l’évasion fiscales à l’échelle globale. À l’instar de Petro Porochenko, son rival du scrutin présidentiel de 2019, </w:t>
      </w:r>
      <w:proofErr w:type="spellStart"/>
      <w:r w:rsidRPr="00C11B91">
        <w:rPr>
          <w:rFonts w:ascii="Comic Sans MS" w:eastAsia="Times New Roman" w:hAnsi="Comic Sans MS" w:cs="Times New Roman"/>
          <w:lang w:eastAsia="fr-FR"/>
        </w:rPr>
        <w:t>Zelensky</w:t>
      </w:r>
      <w:proofErr w:type="spellEnd"/>
      <w:r w:rsidRPr="00C11B91">
        <w:rPr>
          <w:rFonts w:ascii="Comic Sans MS" w:eastAsia="Times New Roman" w:hAnsi="Comic Sans MS" w:cs="Times New Roman"/>
          <w:lang w:eastAsia="fr-FR"/>
        </w:rPr>
        <w:t xml:space="preserve"> aurait également dissimulé sa grande fortune dans plusieurs paradis fiscaux, avant de transférer ses parts à son conseiller, </w:t>
      </w:r>
      <w:proofErr w:type="spellStart"/>
      <w:r w:rsidRPr="00C11B91">
        <w:rPr>
          <w:rFonts w:ascii="Comic Sans MS" w:eastAsia="Times New Roman" w:hAnsi="Comic Sans MS" w:cs="Times New Roman"/>
          <w:lang w:eastAsia="fr-FR"/>
        </w:rPr>
        <w:t>Serhiy</w:t>
      </w:r>
      <w:proofErr w:type="spellEnd"/>
      <w:r w:rsidRPr="00C11B91">
        <w:rPr>
          <w:rFonts w:ascii="Comic Sans MS" w:eastAsia="Times New Roman" w:hAnsi="Comic Sans MS" w:cs="Times New Roman"/>
          <w:lang w:eastAsia="fr-FR"/>
        </w:rPr>
        <w:t xml:space="preserve"> </w:t>
      </w:r>
      <w:proofErr w:type="spellStart"/>
      <w:r w:rsidRPr="00C11B91">
        <w:rPr>
          <w:rFonts w:ascii="Comic Sans MS" w:eastAsia="Times New Roman" w:hAnsi="Comic Sans MS" w:cs="Times New Roman"/>
          <w:lang w:eastAsia="fr-FR"/>
        </w:rPr>
        <w:t>Shefir</w:t>
      </w:r>
      <w:proofErr w:type="spellEnd"/>
      <w:r w:rsidRPr="00C11B91">
        <w:rPr>
          <w:rFonts w:ascii="Comic Sans MS" w:eastAsia="Times New Roman" w:hAnsi="Comic Sans MS" w:cs="Times New Roman"/>
          <w:lang w:eastAsia="fr-FR"/>
        </w:rPr>
        <w:t>.</w:t>
      </w:r>
    </w:p>
    <w:p w14:paraId="0A8683B9" w14:textId="77777777" w:rsidR="00193192" w:rsidRPr="00C11B91" w:rsidRDefault="00193192" w:rsidP="00C11B91">
      <w:pPr>
        <w:spacing w:after="0" w:line="240" w:lineRule="auto"/>
        <w:jc w:val="both"/>
        <w:outlineLvl w:val="2"/>
        <w:rPr>
          <w:rFonts w:ascii="Comic Sans MS" w:eastAsia="Times New Roman" w:hAnsi="Comic Sans MS" w:cs="Times New Roman"/>
          <w:lang w:eastAsia="fr-FR"/>
        </w:rPr>
      </w:pPr>
      <w:r w:rsidRPr="00C11B91">
        <w:rPr>
          <w:rFonts w:ascii="Comic Sans MS" w:eastAsia="Times New Roman" w:hAnsi="Comic Sans MS" w:cs="Times New Roman"/>
          <w:lang w:eastAsia="fr-FR"/>
        </w:rPr>
        <w:t xml:space="preserve">Le prévisible retour en grâce des oligarques </w:t>
      </w:r>
    </w:p>
    <w:p w14:paraId="65780F38" w14:textId="02D73E16" w:rsidR="00193192" w:rsidRPr="00C11B91" w:rsidRDefault="00193192" w:rsidP="00C11B91">
      <w:pPr>
        <w:spacing w:after="0" w:line="240" w:lineRule="auto"/>
        <w:jc w:val="both"/>
        <w:rPr>
          <w:rFonts w:ascii="Comic Sans MS" w:eastAsia="Times New Roman" w:hAnsi="Comic Sans MS" w:cs="Times New Roman"/>
          <w:lang w:eastAsia="fr-FR"/>
        </w:rPr>
      </w:pPr>
      <w:r w:rsidRPr="00C11B91">
        <w:rPr>
          <w:rFonts w:ascii="Comic Sans MS" w:eastAsia="Times New Roman" w:hAnsi="Comic Sans MS" w:cs="Times New Roman"/>
          <w:lang w:eastAsia="fr-FR"/>
        </w:rPr>
        <w:t>Peu avant le déclenchement de la guerre, des oligarques ukrainiens et leur famille se sont enfuis à l’étranger, où ils possèdent de nombreux biens immobiliers, à bord de leurs avions privés. Certains d’entre eux détiennent un passeport de l’UE. Ils ne sont pas revenus en Ukraine en dépit de l’ordre de mobilisation générale qui oblige les hommes ukrainiens âgés de 18 à 60 ans à servir leur patrie et leur interdit de quitter le territoire national. On a vu, sur la Côte d’Azur, pendant ce conflit meurtrier, des Ukrainiens, pourtant en âge de combattre, au volant de voitures de luxe, loin du théâtre de la guerre.</w:t>
      </w:r>
    </w:p>
    <w:p w14:paraId="49ECCE54" w14:textId="03103108" w:rsidR="00193192" w:rsidRPr="00C11B91" w:rsidRDefault="00193192" w:rsidP="00C11B91">
      <w:pPr>
        <w:spacing w:after="0" w:line="240" w:lineRule="auto"/>
        <w:jc w:val="both"/>
        <w:rPr>
          <w:rFonts w:ascii="Comic Sans MS" w:eastAsia="Times New Roman" w:hAnsi="Comic Sans MS" w:cs="Times New Roman"/>
          <w:lang w:eastAsia="fr-FR"/>
        </w:rPr>
      </w:pPr>
      <w:r w:rsidRPr="00C11B91">
        <w:rPr>
          <w:rFonts w:ascii="Comic Sans MS" w:eastAsia="Times New Roman" w:hAnsi="Comic Sans MS" w:cs="Times New Roman"/>
          <w:lang w:eastAsia="fr-FR"/>
        </w:rPr>
        <w:t xml:space="preserve">Pour rappel, </w:t>
      </w:r>
      <w:proofErr w:type="spellStart"/>
      <w:r w:rsidRPr="00C11B91">
        <w:rPr>
          <w:rFonts w:ascii="Comic Sans MS" w:eastAsia="Times New Roman" w:hAnsi="Comic Sans MS" w:cs="Times New Roman"/>
          <w:lang w:eastAsia="fr-FR"/>
        </w:rPr>
        <w:t>Rinat</w:t>
      </w:r>
      <w:proofErr w:type="spellEnd"/>
      <w:r w:rsidRPr="00C11B91">
        <w:rPr>
          <w:rFonts w:ascii="Comic Sans MS" w:eastAsia="Times New Roman" w:hAnsi="Comic Sans MS" w:cs="Times New Roman"/>
          <w:lang w:eastAsia="fr-FR"/>
        </w:rPr>
        <w:t xml:space="preserve"> </w:t>
      </w:r>
      <w:proofErr w:type="spellStart"/>
      <w:r w:rsidRPr="00C11B91">
        <w:rPr>
          <w:rFonts w:ascii="Comic Sans MS" w:eastAsia="Times New Roman" w:hAnsi="Comic Sans MS" w:cs="Times New Roman"/>
          <w:lang w:eastAsia="fr-FR"/>
        </w:rPr>
        <w:t>Akhmetov</w:t>
      </w:r>
      <w:proofErr w:type="spellEnd"/>
      <w:r w:rsidRPr="00C11B91">
        <w:rPr>
          <w:rFonts w:ascii="Comic Sans MS" w:eastAsia="Times New Roman" w:hAnsi="Comic Sans MS" w:cs="Times New Roman"/>
          <w:lang w:eastAsia="fr-FR"/>
        </w:rPr>
        <w:t xml:space="preserve"> a fait l’acquisition en 2019 de la propriété la plus chère du monde, à savoir la villa « Les Cèdres », estimée à 418 millions $. Elle est située sur la Côte d’Azur, sur la « presqu’île des milliardaires », au Cap Ferrat. Au même endroit, </w:t>
      </w:r>
      <w:proofErr w:type="spellStart"/>
      <w:r w:rsidRPr="00C11B91">
        <w:rPr>
          <w:rFonts w:ascii="Comic Sans MS" w:eastAsia="Times New Roman" w:hAnsi="Comic Sans MS" w:cs="Times New Roman"/>
          <w:lang w:eastAsia="fr-FR"/>
        </w:rPr>
        <w:t>Pintchouk</w:t>
      </w:r>
      <w:proofErr w:type="spellEnd"/>
      <w:r w:rsidRPr="00C11B91">
        <w:rPr>
          <w:rFonts w:ascii="Comic Sans MS" w:eastAsia="Times New Roman" w:hAnsi="Comic Sans MS" w:cs="Times New Roman"/>
          <w:lang w:eastAsia="fr-FR"/>
        </w:rPr>
        <w:t xml:space="preserve"> est propriétaire de la villa « </w:t>
      </w:r>
      <w:proofErr w:type="spellStart"/>
      <w:r w:rsidRPr="00C11B91">
        <w:rPr>
          <w:rFonts w:ascii="Comic Sans MS" w:eastAsia="Times New Roman" w:hAnsi="Comic Sans MS" w:cs="Times New Roman"/>
          <w:lang w:eastAsia="fr-FR"/>
        </w:rPr>
        <w:t>Sorentina</w:t>
      </w:r>
      <w:proofErr w:type="spellEnd"/>
      <w:r w:rsidRPr="00C11B91">
        <w:rPr>
          <w:rFonts w:ascii="Comic Sans MS" w:eastAsia="Times New Roman" w:hAnsi="Comic Sans MS" w:cs="Times New Roman"/>
          <w:lang w:eastAsia="fr-FR"/>
        </w:rPr>
        <w:t xml:space="preserve"> » payée 137 millions $, tandis que </w:t>
      </w:r>
      <w:proofErr w:type="spellStart"/>
      <w:r w:rsidRPr="00C11B91">
        <w:rPr>
          <w:rFonts w:ascii="Comic Sans MS" w:eastAsia="Times New Roman" w:hAnsi="Comic Sans MS" w:cs="Times New Roman"/>
          <w:lang w:eastAsia="fr-FR"/>
        </w:rPr>
        <w:t>Firtash</w:t>
      </w:r>
      <w:proofErr w:type="spellEnd"/>
      <w:r w:rsidRPr="00C11B91">
        <w:rPr>
          <w:rFonts w:ascii="Comic Sans MS" w:eastAsia="Times New Roman" w:hAnsi="Comic Sans MS" w:cs="Times New Roman"/>
          <w:lang w:eastAsia="fr-FR"/>
        </w:rPr>
        <w:t xml:space="preserve"> a acquis la « Villa mauresque » pour une cinquantaine de millions $. Dans leur vicinité vivent </w:t>
      </w:r>
      <w:r w:rsidRPr="00C11B91">
        <w:rPr>
          <w:rFonts w:ascii="Comic Sans MS" w:eastAsia="Times New Roman" w:hAnsi="Comic Sans MS" w:cs="Times New Roman"/>
          <w:lang w:eastAsia="fr-FR"/>
        </w:rPr>
        <w:lastRenderedPageBreak/>
        <w:t xml:space="preserve">l’oligarque ukrainien Pavel </w:t>
      </w:r>
      <w:proofErr w:type="spellStart"/>
      <w:r w:rsidRPr="00C11B91">
        <w:rPr>
          <w:rFonts w:ascii="Comic Sans MS" w:eastAsia="Times New Roman" w:hAnsi="Comic Sans MS" w:cs="Times New Roman"/>
          <w:lang w:eastAsia="fr-FR"/>
        </w:rPr>
        <w:t>Fuks</w:t>
      </w:r>
      <w:proofErr w:type="spellEnd"/>
      <w:r w:rsidRPr="00C11B91">
        <w:rPr>
          <w:rFonts w:ascii="Comic Sans MS" w:eastAsia="Times New Roman" w:hAnsi="Comic Sans MS" w:cs="Times New Roman"/>
          <w:lang w:eastAsia="fr-FR"/>
        </w:rPr>
        <w:t xml:space="preserve"> (Villa « Anastasia », 176 millions $), les députés ukrainiens prorusses </w:t>
      </w:r>
      <w:proofErr w:type="spellStart"/>
      <w:r w:rsidRPr="00C11B91">
        <w:rPr>
          <w:rFonts w:ascii="Comic Sans MS" w:eastAsia="Times New Roman" w:hAnsi="Comic Sans MS" w:cs="Times New Roman"/>
          <w:lang w:eastAsia="fr-FR"/>
        </w:rPr>
        <w:t>Serhiy</w:t>
      </w:r>
      <w:proofErr w:type="spellEnd"/>
      <w:r w:rsidRPr="00C11B91">
        <w:rPr>
          <w:rFonts w:ascii="Comic Sans MS" w:eastAsia="Times New Roman" w:hAnsi="Comic Sans MS" w:cs="Times New Roman"/>
          <w:lang w:eastAsia="fr-FR"/>
        </w:rPr>
        <w:t xml:space="preserve"> </w:t>
      </w:r>
      <w:proofErr w:type="spellStart"/>
      <w:r w:rsidRPr="00C11B91">
        <w:rPr>
          <w:rFonts w:ascii="Comic Sans MS" w:eastAsia="Times New Roman" w:hAnsi="Comic Sans MS" w:cs="Times New Roman"/>
          <w:lang w:eastAsia="fr-FR"/>
        </w:rPr>
        <w:t>Lyovochkin</w:t>
      </w:r>
      <w:proofErr w:type="spellEnd"/>
      <w:r w:rsidRPr="00C11B91">
        <w:rPr>
          <w:rFonts w:ascii="Comic Sans MS" w:eastAsia="Times New Roman" w:hAnsi="Comic Sans MS" w:cs="Times New Roman"/>
          <w:lang w:eastAsia="fr-FR"/>
        </w:rPr>
        <w:t xml:space="preserve"> et Igor </w:t>
      </w:r>
      <w:proofErr w:type="spellStart"/>
      <w:r w:rsidRPr="00C11B91">
        <w:rPr>
          <w:rFonts w:ascii="Comic Sans MS" w:eastAsia="Times New Roman" w:hAnsi="Comic Sans MS" w:cs="Times New Roman"/>
          <w:lang w:eastAsia="fr-FR"/>
        </w:rPr>
        <w:t>Abramovitch</w:t>
      </w:r>
      <w:proofErr w:type="spellEnd"/>
      <w:r w:rsidRPr="00C11B91">
        <w:rPr>
          <w:rFonts w:ascii="Comic Sans MS" w:eastAsia="Times New Roman" w:hAnsi="Comic Sans MS" w:cs="Times New Roman"/>
          <w:lang w:eastAsia="fr-FR"/>
        </w:rPr>
        <w:t xml:space="preserve">. Non loin, l’homme d’affaires américain originaire d’Odessa, Léonide </w:t>
      </w:r>
      <w:proofErr w:type="spellStart"/>
      <w:r w:rsidRPr="00C11B91">
        <w:rPr>
          <w:rFonts w:ascii="Comic Sans MS" w:eastAsia="Times New Roman" w:hAnsi="Comic Sans MS" w:cs="Times New Roman"/>
          <w:lang w:eastAsia="fr-FR"/>
        </w:rPr>
        <w:t>Blavatnik</w:t>
      </w:r>
      <w:proofErr w:type="spellEnd"/>
      <w:r w:rsidRPr="00C11B91">
        <w:rPr>
          <w:rFonts w:ascii="Comic Sans MS" w:eastAsia="Times New Roman" w:hAnsi="Comic Sans MS" w:cs="Times New Roman"/>
          <w:lang w:eastAsia="fr-FR"/>
        </w:rPr>
        <w:t>, est propriétaire du Grand Hôtel du Cap-Ferrat (150 millions $)</w:t>
      </w:r>
      <w:r w:rsidR="00917CAA">
        <w:rPr>
          <w:rFonts w:ascii="Comic Sans MS" w:eastAsia="Times New Roman" w:hAnsi="Comic Sans MS" w:cs="Times New Roman"/>
          <w:lang w:eastAsia="fr-FR"/>
        </w:rPr>
        <w:t>.</w:t>
      </w:r>
    </w:p>
    <w:p w14:paraId="1CB45771" w14:textId="59CE875F" w:rsidR="00DA664D" w:rsidRPr="00C11B91" w:rsidRDefault="00193192" w:rsidP="00C11B91">
      <w:pPr>
        <w:spacing w:after="0" w:line="240" w:lineRule="auto"/>
        <w:jc w:val="both"/>
        <w:rPr>
          <w:rFonts w:ascii="Comic Sans MS" w:eastAsia="Times New Roman" w:hAnsi="Comic Sans MS" w:cs="Times New Roman"/>
          <w:lang w:eastAsia="fr-FR"/>
        </w:rPr>
      </w:pPr>
      <w:r w:rsidRPr="00C11B91">
        <w:rPr>
          <w:rFonts w:ascii="Comic Sans MS" w:eastAsia="Times New Roman" w:hAnsi="Comic Sans MS" w:cs="Times New Roman"/>
          <w:lang w:eastAsia="fr-FR"/>
        </w:rPr>
        <w:t xml:space="preserve">En septembre 2021, confronté au mécontentement croissant de la population qui, descendue dans la rue, exigeait du gouvernement des mesures contre l’influence abusive et délétère des oligarques sur la vie économique et politique du pays, </w:t>
      </w:r>
      <w:proofErr w:type="spellStart"/>
      <w:r w:rsidRPr="00C11B91">
        <w:rPr>
          <w:rFonts w:ascii="Comic Sans MS" w:eastAsia="Times New Roman" w:hAnsi="Comic Sans MS" w:cs="Times New Roman"/>
          <w:lang w:eastAsia="fr-FR"/>
        </w:rPr>
        <w:t>Volodymyr</w:t>
      </w:r>
      <w:proofErr w:type="spellEnd"/>
      <w:r w:rsidRPr="00C11B91">
        <w:rPr>
          <w:rFonts w:ascii="Comic Sans MS" w:eastAsia="Times New Roman" w:hAnsi="Comic Sans MS" w:cs="Times New Roman"/>
          <w:lang w:eastAsia="fr-FR"/>
        </w:rPr>
        <w:t xml:space="preserve"> </w:t>
      </w:r>
      <w:proofErr w:type="spellStart"/>
      <w:r w:rsidRPr="00C11B91">
        <w:rPr>
          <w:rFonts w:ascii="Comic Sans MS" w:eastAsia="Times New Roman" w:hAnsi="Comic Sans MS" w:cs="Times New Roman"/>
          <w:lang w:eastAsia="fr-FR"/>
        </w:rPr>
        <w:t>Zelensky</w:t>
      </w:r>
      <w:proofErr w:type="spellEnd"/>
      <w:r w:rsidRPr="00C11B91">
        <w:rPr>
          <w:rFonts w:ascii="Comic Sans MS" w:eastAsia="Times New Roman" w:hAnsi="Comic Sans MS" w:cs="Times New Roman"/>
          <w:lang w:eastAsia="fr-FR"/>
        </w:rPr>
        <w:t xml:space="preserve"> avait fait voter une loi sur les oligarques</w:t>
      </w:r>
      <w:r w:rsidR="00917CAA">
        <w:rPr>
          <w:rFonts w:ascii="Comic Sans MS" w:eastAsia="Times New Roman" w:hAnsi="Comic Sans MS" w:cs="Times New Roman"/>
          <w:lang w:eastAsia="fr-FR"/>
        </w:rPr>
        <w:t>.</w:t>
      </w:r>
      <w:r w:rsidRPr="00C11B91">
        <w:rPr>
          <w:rFonts w:ascii="Comic Sans MS" w:eastAsia="Times New Roman" w:hAnsi="Comic Sans MS" w:cs="Times New Roman"/>
          <w:lang w:eastAsia="fr-FR"/>
        </w:rPr>
        <w:t xml:space="preserve"> Celle-ci devait entrer en vigueur le 7 mai 2022. Entretemps, les individus concernés ont une fois de plus tenté par tous les moyens d’assurer leur survie politique, voire à se positionner comme des acteurs incontournables de la reconstruction du pays dans l’après-guerre, à l’instar de Victor </w:t>
      </w:r>
      <w:proofErr w:type="spellStart"/>
      <w:r w:rsidRPr="00C11B91">
        <w:rPr>
          <w:rFonts w:ascii="Comic Sans MS" w:eastAsia="Times New Roman" w:hAnsi="Comic Sans MS" w:cs="Times New Roman"/>
          <w:lang w:eastAsia="fr-FR"/>
        </w:rPr>
        <w:t>Pintchouk</w:t>
      </w:r>
      <w:proofErr w:type="spellEnd"/>
      <w:r w:rsidRPr="00C11B91">
        <w:rPr>
          <w:rFonts w:ascii="Comic Sans MS" w:eastAsia="Times New Roman" w:hAnsi="Comic Sans MS" w:cs="Times New Roman"/>
          <w:lang w:eastAsia="fr-FR"/>
        </w:rPr>
        <w:t xml:space="preserve">. </w:t>
      </w:r>
    </w:p>
    <w:p w14:paraId="4D8B453E" w14:textId="632C3F18" w:rsidR="00193192" w:rsidRPr="00C11B91" w:rsidRDefault="00193192" w:rsidP="00C11B91">
      <w:pPr>
        <w:spacing w:after="0" w:line="240" w:lineRule="auto"/>
        <w:jc w:val="both"/>
        <w:rPr>
          <w:rFonts w:ascii="Comic Sans MS" w:eastAsia="Times New Roman" w:hAnsi="Comic Sans MS" w:cs="Times New Roman"/>
          <w:lang w:eastAsia="fr-FR"/>
        </w:rPr>
      </w:pPr>
      <w:r w:rsidRPr="00C11B91">
        <w:rPr>
          <w:rFonts w:ascii="Comic Sans MS" w:eastAsia="Times New Roman" w:hAnsi="Comic Sans MS" w:cs="Times New Roman"/>
          <w:lang w:eastAsia="fr-FR"/>
        </w:rPr>
        <w:t>Au fil des trente dernières années, certains ont défendu des positions tour à tour pro-russes et pro-occidentales en fonction de leurs seuls intérêts privés. Plusieurs d’entre eux font l’objet de poursuite judiciaire et ont entretenu des liens avec des organisations criminelles, mais la lutte anticorruption n’est manifestement plus une priorité en temps de guerre en Ukraine. C’est ainsi que leur influence internationale leur assurera certainement un avenir serein dans le futur ordre mondial issu des récents bouleversements géopolitiques.</w:t>
      </w:r>
    </w:p>
    <w:p w14:paraId="72EC4864" w14:textId="77777777" w:rsidR="00DA664D" w:rsidRPr="00C11B91" w:rsidRDefault="00193192" w:rsidP="00C11B91">
      <w:pPr>
        <w:spacing w:after="0" w:line="240" w:lineRule="auto"/>
        <w:jc w:val="both"/>
        <w:rPr>
          <w:rFonts w:ascii="Comic Sans MS" w:eastAsia="Times New Roman" w:hAnsi="Comic Sans MS" w:cs="Times New Roman"/>
          <w:lang w:eastAsia="fr-FR"/>
        </w:rPr>
      </w:pPr>
      <w:r w:rsidRPr="00C11B91">
        <w:rPr>
          <w:rFonts w:ascii="Comic Sans MS" w:eastAsia="Times New Roman" w:hAnsi="Comic Sans MS" w:cs="Times New Roman"/>
          <w:lang w:eastAsia="fr-FR"/>
        </w:rPr>
        <w:t xml:space="preserve">En conclusion, les fonds colossaux mis à la disposition de l’Ukraine par les dirigeants occidentaux au mépris de la corruption rampante qui y sévit depuis plusieurs décennies a pour effet de renforcer la position de certains oligarques pourtant responsables de la faillite du pays, ainsi que celle des réseaux criminels, grevant ainsi définitivement l’avenir du peuple ukrainien. </w:t>
      </w:r>
    </w:p>
    <w:p w14:paraId="6DA2219B" w14:textId="38BE0DB2" w:rsidR="00DA664D" w:rsidRDefault="00193192" w:rsidP="00C11B91">
      <w:pPr>
        <w:spacing w:after="0" w:line="240" w:lineRule="auto"/>
        <w:jc w:val="both"/>
        <w:rPr>
          <w:rFonts w:ascii="Comic Sans MS" w:eastAsia="Times New Roman" w:hAnsi="Comic Sans MS" w:cs="Times New Roman"/>
          <w:lang w:eastAsia="fr-FR"/>
        </w:rPr>
      </w:pPr>
      <w:r w:rsidRPr="00C11B91">
        <w:rPr>
          <w:rFonts w:ascii="Comic Sans MS" w:eastAsia="Times New Roman" w:hAnsi="Comic Sans MS" w:cs="Times New Roman"/>
          <w:lang w:eastAsia="fr-FR"/>
        </w:rPr>
        <w:t xml:space="preserve">Dans un tel contexte, les timides déclarations des décideurs européens concernant leur </w:t>
      </w:r>
      <w:r w:rsidRPr="00917CAA">
        <w:rPr>
          <w:rFonts w:ascii="Comic Sans MS" w:eastAsia="Times New Roman" w:hAnsi="Comic Sans MS" w:cs="Times New Roman"/>
          <w:lang w:eastAsia="fr-FR"/>
        </w:rPr>
        <w:t>volonté de lutter contre la corruption en Ukraine ne paraissent pas crédibles. Alors même</w:t>
      </w:r>
      <w:r w:rsidRPr="00C11B91">
        <w:rPr>
          <w:rFonts w:ascii="Comic Sans MS" w:eastAsia="Times New Roman" w:hAnsi="Comic Sans MS" w:cs="Times New Roman"/>
          <w:lang w:eastAsia="fr-FR"/>
        </w:rPr>
        <w:t xml:space="preserve"> que les pays occidentaux se trouvent confrontés à une crise économique d’une ampleur inédite et qu’une grave crise alimentaire mondiale se profile en raison de la guerre en Ukraine, la guerre devrait au contraire être l’occasion d’améliorer la gouvernance et la transparence dans ce pays.</w:t>
      </w:r>
    </w:p>
    <w:p w14:paraId="6E203636" w14:textId="77777777" w:rsidR="00917CAA" w:rsidRPr="00C11B91" w:rsidRDefault="00917CAA" w:rsidP="00C11B91">
      <w:pPr>
        <w:spacing w:after="0" w:line="240" w:lineRule="auto"/>
        <w:jc w:val="both"/>
        <w:rPr>
          <w:rFonts w:ascii="Comic Sans MS" w:eastAsia="Times New Roman" w:hAnsi="Comic Sans MS" w:cs="Times New Roman"/>
          <w:lang w:eastAsia="fr-FR"/>
        </w:rPr>
      </w:pPr>
    </w:p>
    <w:p w14:paraId="225CDA4C" w14:textId="182C5BDF" w:rsidR="00193192" w:rsidRPr="00917CAA" w:rsidRDefault="00193192" w:rsidP="00917CAA">
      <w:pPr>
        <w:spacing w:after="0" w:line="240" w:lineRule="auto"/>
        <w:rPr>
          <w:rFonts w:ascii="Comic Sans MS" w:eastAsia="Times New Roman" w:hAnsi="Comic Sans MS" w:cs="Times New Roman"/>
          <w:lang w:eastAsia="fr-FR"/>
        </w:rPr>
      </w:pPr>
      <w:r w:rsidRPr="00917CAA">
        <w:rPr>
          <w:rStyle w:val="lev"/>
          <w:rFonts w:ascii="Comic Sans MS" w:hAnsi="Comic Sans MS"/>
        </w:rPr>
        <w:t>L’État ukrainien et les oligarques</w:t>
      </w:r>
      <w:r w:rsidR="00917CAA" w:rsidRPr="00917CAA">
        <w:rPr>
          <w:rStyle w:val="lev"/>
          <w:rFonts w:ascii="Comic Sans MS" w:hAnsi="Comic Sans MS"/>
        </w:rPr>
        <w:t> :</w:t>
      </w:r>
    </w:p>
    <w:p w14:paraId="5F2F5419" w14:textId="77777777" w:rsidR="00193192" w:rsidRPr="00C11B91" w:rsidRDefault="00193192" w:rsidP="00C11B91">
      <w:pPr>
        <w:pStyle w:val="NormalWeb"/>
        <w:spacing w:before="0" w:beforeAutospacing="0" w:after="0" w:afterAutospacing="0"/>
        <w:jc w:val="both"/>
        <w:rPr>
          <w:rFonts w:ascii="Comic Sans MS" w:hAnsi="Comic Sans MS"/>
          <w:sz w:val="22"/>
          <w:szCs w:val="22"/>
        </w:rPr>
      </w:pPr>
      <w:r w:rsidRPr="00C11B91">
        <w:rPr>
          <w:rFonts w:ascii="Comic Sans MS" w:hAnsi="Comic Sans MS"/>
          <w:sz w:val="22"/>
          <w:szCs w:val="22"/>
        </w:rPr>
        <w:t>Les exemples suivants illustrent la collusion entre l’État et les oligarques en Ukraine et les conséquences néfastes qui en découlent pour le pays.</w:t>
      </w:r>
    </w:p>
    <w:p w14:paraId="35BA2FA7" w14:textId="337D7807" w:rsidR="00193192" w:rsidRPr="00C11B91" w:rsidRDefault="00193192" w:rsidP="00C11B91">
      <w:pPr>
        <w:pStyle w:val="NormalWeb"/>
        <w:spacing w:before="0" w:beforeAutospacing="0" w:after="0" w:afterAutospacing="0"/>
        <w:jc w:val="both"/>
        <w:rPr>
          <w:rFonts w:ascii="Comic Sans MS" w:hAnsi="Comic Sans MS"/>
          <w:sz w:val="22"/>
          <w:szCs w:val="22"/>
        </w:rPr>
      </w:pPr>
      <w:proofErr w:type="spellStart"/>
      <w:r w:rsidRPr="00C11B91">
        <w:rPr>
          <w:rStyle w:val="lev"/>
          <w:rFonts w:ascii="Comic Sans MS" w:hAnsi="Comic Sans MS"/>
          <w:b w:val="0"/>
          <w:bCs w:val="0"/>
          <w:sz w:val="22"/>
          <w:szCs w:val="22"/>
        </w:rPr>
        <w:t>Ihor</w:t>
      </w:r>
      <w:proofErr w:type="spellEnd"/>
      <w:r w:rsidRPr="00C11B91">
        <w:rPr>
          <w:rStyle w:val="lev"/>
          <w:rFonts w:ascii="Comic Sans MS" w:hAnsi="Comic Sans MS"/>
          <w:b w:val="0"/>
          <w:bCs w:val="0"/>
          <w:sz w:val="22"/>
          <w:szCs w:val="22"/>
        </w:rPr>
        <w:t xml:space="preserve"> </w:t>
      </w:r>
      <w:proofErr w:type="spellStart"/>
      <w:r w:rsidRPr="00C11B91">
        <w:rPr>
          <w:rStyle w:val="lev"/>
          <w:rFonts w:ascii="Comic Sans MS" w:hAnsi="Comic Sans MS"/>
          <w:b w:val="0"/>
          <w:bCs w:val="0"/>
          <w:sz w:val="22"/>
          <w:szCs w:val="22"/>
        </w:rPr>
        <w:t>Kolomoïsky</w:t>
      </w:r>
      <w:proofErr w:type="spellEnd"/>
      <w:r w:rsidRPr="00C11B91">
        <w:rPr>
          <w:rFonts w:ascii="Comic Sans MS" w:hAnsi="Comic Sans MS"/>
          <w:sz w:val="22"/>
          <w:szCs w:val="22"/>
        </w:rPr>
        <w:t xml:space="preserve">, à la tête d’un empire médiatique, est le mentor du président </w:t>
      </w:r>
      <w:proofErr w:type="spellStart"/>
      <w:r w:rsidRPr="00C11B91">
        <w:rPr>
          <w:rFonts w:ascii="Comic Sans MS" w:hAnsi="Comic Sans MS"/>
          <w:sz w:val="22"/>
          <w:szCs w:val="22"/>
        </w:rPr>
        <w:t>Volodymyr</w:t>
      </w:r>
      <w:proofErr w:type="spellEnd"/>
      <w:r w:rsidRPr="00C11B91">
        <w:rPr>
          <w:rFonts w:ascii="Comic Sans MS" w:hAnsi="Comic Sans MS"/>
          <w:sz w:val="22"/>
          <w:szCs w:val="22"/>
        </w:rPr>
        <w:t xml:space="preserve"> </w:t>
      </w:r>
      <w:proofErr w:type="spellStart"/>
      <w:r w:rsidRPr="00C11B91">
        <w:rPr>
          <w:rFonts w:ascii="Comic Sans MS" w:hAnsi="Comic Sans MS"/>
          <w:sz w:val="22"/>
          <w:szCs w:val="22"/>
        </w:rPr>
        <w:t>Zelensky</w:t>
      </w:r>
      <w:proofErr w:type="spellEnd"/>
      <w:r w:rsidRPr="00C11B91">
        <w:rPr>
          <w:rFonts w:ascii="Comic Sans MS" w:hAnsi="Comic Sans MS"/>
          <w:sz w:val="22"/>
          <w:szCs w:val="22"/>
        </w:rPr>
        <w:t xml:space="preserve">. Il a été gouverneur de Dnipropetrovsk. Selon le </w:t>
      </w:r>
      <w:proofErr w:type="spellStart"/>
      <w:r w:rsidRPr="00C11B91">
        <w:rPr>
          <w:rStyle w:val="Accentuation"/>
          <w:rFonts w:ascii="Comic Sans MS" w:hAnsi="Comic Sans MS"/>
          <w:sz w:val="22"/>
          <w:szCs w:val="22"/>
        </w:rPr>
        <w:t>Kyiv</w:t>
      </w:r>
      <w:proofErr w:type="spellEnd"/>
      <w:r w:rsidRPr="00C11B91">
        <w:rPr>
          <w:rStyle w:val="Accentuation"/>
          <w:rFonts w:ascii="Comic Sans MS" w:hAnsi="Comic Sans MS"/>
          <w:sz w:val="22"/>
          <w:szCs w:val="22"/>
        </w:rPr>
        <w:t xml:space="preserve"> Post</w:t>
      </w:r>
      <w:r w:rsidRPr="00C11B91">
        <w:rPr>
          <w:rFonts w:ascii="Comic Sans MS" w:hAnsi="Comic Sans MS"/>
          <w:sz w:val="22"/>
          <w:szCs w:val="22"/>
        </w:rPr>
        <w:t xml:space="preserve">, l’accession au pouvoir de </w:t>
      </w:r>
      <w:proofErr w:type="spellStart"/>
      <w:r w:rsidRPr="00C11B91">
        <w:rPr>
          <w:rFonts w:ascii="Comic Sans MS" w:hAnsi="Comic Sans MS"/>
          <w:sz w:val="22"/>
          <w:szCs w:val="22"/>
        </w:rPr>
        <w:t>Zelensky</w:t>
      </w:r>
      <w:proofErr w:type="spellEnd"/>
      <w:r w:rsidRPr="00C11B91">
        <w:rPr>
          <w:rFonts w:ascii="Comic Sans MS" w:hAnsi="Comic Sans MS"/>
          <w:sz w:val="22"/>
          <w:szCs w:val="22"/>
        </w:rPr>
        <w:t xml:space="preserve"> lui a permis de prendre le contrôle de l’entreprise pétrolière d’État </w:t>
      </w:r>
      <w:proofErr w:type="spellStart"/>
      <w:r w:rsidRPr="00C11B91">
        <w:rPr>
          <w:rFonts w:ascii="Comic Sans MS" w:hAnsi="Comic Sans MS"/>
          <w:sz w:val="22"/>
          <w:szCs w:val="22"/>
        </w:rPr>
        <w:t>Ukrnafta</w:t>
      </w:r>
      <w:proofErr w:type="spellEnd"/>
      <w:r w:rsidRPr="00C11B91">
        <w:rPr>
          <w:rFonts w:ascii="Comic Sans MS" w:hAnsi="Comic Sans MS"/>
          <w:sz w:val="22"/>
          <w:szCs w:val="22"/>
        </w:rPr>
        <w:t xml:space="preserve">. Jusqu’à ses ennuis judiciaires aux États-Unis, il contrôlait également </w:t>
      </w:r>
      <w:proofErr w:type="spellStart"/>
      <w:r w:rsidRPr="00C11B91">
        <w:rPr>
          <w:rFonts w:ascii="Comic Sans MS" w:hAnsi="Comic Sans MS"/>
          <w:sz w:val="22"/>
          <w:szCs w:val="22"/>
        </w:rPr>
        <w:t>Centrenergo</w:t>
      </w:r>
      <w:proofErr w:type="spellEnd"/>
      <w:r w:rsidRPr="00C11B91">
        <w:rPr>
          <w:rFonts w:ascii="Comic Sans MS" w:hAnsi="Comic Sans MS"/>
          <w:sz w:val="22"/>
          <w:szCs w:val="22"/>
        </w:rPr>
        <w:t xml:space="preserve">, entreprise nationalisée, qui assure 15 % de la production d’énergie de l’Ukraine. Il aurait obtenu le limogeage du Premier ministre réformateur </w:t>
      </w:r>
      <w:proofErr w:type="spellStart"/>
      <w:r w:rsidRPr="00C11B91">
        <w:rPr>
          <w:rFonts w:ascii="Comic Sans MS" w:hAnsi="Comic Sans MS"/>
          <w:sz w:val="22"/>
          <w:szCs w:val="22"/>
        </w:rPr>
        <w:t>Aleksiy</w:t>
      </w:r>
      <w:proofErr w:type="spellEnd"/>
      <w:r w:rsidRPr="00C11B91">
        <w:rPr>
          <w:rFonts w:ascii="Comic Sans MS" w:hAnsi="Comic Sans MS"/>
          <w:sz w:val="22"/>
          <w:szCs w:val="22"/>
        </w:rPr>
        <w:t xml:space="preserve"> </w:t>
      </w:r>
      <w:proofErr w:type="spellStart"/>
      <w:r w:rsidRPr="00C11B91">
        <w:rPr>
          <w:rFonts w:ascii="Comic Sans MS" w:hAnsi="Comic Sans MS"/>
          <w:sz w:val="22"/>
          <w:szCs w:val="22"/>
        </w:rPr>
        <w:t>Hontcharuk</w:t>
      </w:r>
      <w:proofErr w:type="spellEnd"/>
      <w:r w:rsidRPr="00C11B91">
        <w:rPr>
          <w:rFonts w:ascii="Comic Sans MS" w:hAnsi="Comic Sans MS"/>
          <w:sz w:val="22"/>
          <w:szCs w:val="22"/>
        </w:rPr>
        <w:t xml:space="preserve">, qui s’opposait à son emprise sur le secteur de l’énergie. </w:t>
      </w:r>
      <w:proofErr w:type="spellStart"/>
      <w:r w:rsidRPr="00C11B91">
        <w:rPr>
          <w:rFonts w:ascii="Comic Sans MS" w:hAnsi="Comic Sans MS"/>
          <w:sz w:val="22"/>
          <w:szCs w:val="22"/>
        </w:rPr>
        <w:t>Kolomoïsky</w:t>
      </w:r>
      <w:proofErr w:type="spellEnd"/>
      <w:r w:rsidRPr="00C11B91">
        <w:rPr>
          <w:rFonts w:ascii="Comic Sans MS" w:hAnsi="Comic Sans MS"/>
          <w:sz w:val="22"/>
          <w:szCs w:val="22"/>
        </w:rPr>
        <w:t xml:space="preserve"> est poursuivi aux États-Unis – où il a acquis de nombreux biens immobiliers – pour corruption et blanchiment d’argent. Les fonds détournés en Ukraine (5,5 milliards de dollars) proviendraient de la banque ukrainienne </w:t>
      </w:r>
      <w:proofErr w:type="spellStart"/>
      <w:r w:rsidRPr="00C11B91">
        <w:rPr>
          <w:rFonts w:ascii="Comic Sans MS" w:hAnsi="Comic Sans MS"/>
          <w:sz w:val="22"/>
          <w:szCs w:val="22"/>
        </w:rPr>
        <w:t>Privatbank</w:t>
      </w:r>
      <w:proofErr w:type="spellEnd"/>
      <w:r w:rsidRPr="00C11B91">
        <w:rPr>
          <w:rFonts w:ascii="Comic Sans MS" w:hAnsi="Comic Sans MS"/>
          <w:sz w:val="22"/>
          <w:szCs w:val="22"/>
        </w:rPr>
        <w:t xml:space="preserve">, qu’il a fondée et qui a été nationalisée en 2016. Il est également accusé de détournement de fonds provenant de </w:t>
      </w:r>
      <w:proofErr w:type="spellStart"/>
      <w:r w:rsidRPr="00C11B91">
        <w:rPr>
          <w:rFonts w:ascii="Comic Sans MS" w:hAnsi="Comic Sans MS"/>
          <w:sz w:val="22"/>
          <w:szCs w:val="22"/>
        </w:rPr>
        <w:t>Centrenergo</w:t>
      </w:r>
      <w:proofErr w:type="spellEnd"/>
      <w:r w:rsidRPr="00C11B91">
        <w:rPr>
          <w:rFonts w:ascii="Comic Sans MS" w:hAnsi="Comic Sans MS"/>
          <w:sz w:val="22"/>
          <w:szCs w:val="22"/>
        </w:rPr>
        <w:t xml:space="preserve">. Il a financé plusieurs unités </w:t>
      </w:r>
      <w:r w:rsidRPr="00C11B91">
        <w:rPr>
          <w:rFonts w:ascii="Comic Sans MS" w:hAnsi="Comic Sans MS"/>
          <w:sz w:val="22"/>
          <w:szCs w:val="22"/>
        </w:rPr>
        <w:lastRenderedPageBreak/>
        <w:t>paramilitaires – dont le bataillon Azov – pour combattre contre les séparatistes pro-russes du Donbass.</w:t>
      </w:r>
    </w:p>
    <w:p w14:paraId="42C2FB13" w14:textId="77777777" w:rsidR="00193192" w:rsidRPr="00C11B91" w:rsidRDefault="00193192" w:rsidP="00C11B91">
      <w:pPr>
        <w:pStyle w:val="NormalWeb"/>
        <w:spacing w:before="0" w:beforeAutospacing="0" w:after="0" w:afterAutospacing="0"/>
        <w:jc w:val="both"/>
        <w:rPr>
          <w:rFonts w:ascii="Comic Sans MS" w:hAnsi="Comic Sans MS"/>
          <w:sz w:val="22"/>
          <w:szCs w:val="22"/>
        </w:rPr>
      </w:pPr>
      <w:r w:rsidRPr="00C11B91">
        <w:rPr>
          <w:rStyle w:val="lev"/>
          <w:rFonts w:ascii="Comic Sans MS" w:hAnsi="Comic Sans MS"/>
          <w:b w:val="0"/>
          <w:bCs w:val="0"/>
          <w:sz w:val="22"/>
          <w:szCs w:val="22"/>
        </w:rPr>
        <w:t xml:space="preserve">Le magnat </w:t>
      </w:r>
      <w:proofErr w:type="spellStart"/>
      <w:r w:rsidRPr="00C11B91">
        <w:rPr>
          <w:rStyle w:val="lev"/>
          <w:rFonts w:ascii="Comic Sans MS" w:hAnsi="Comic Sans MS"/>
          <w:b w:val="0"/>
          <w:bCs w:val="0"/>
          <w:sz w:val="22"/>
          <w:szCs w:val="22"/>
        </w:rPr>
        <w:t>Dmytro</w:t>
      </w:r>
      <w:proofErr w:type="spellEnd"/>
      <w:r w:rsidRPr="00C11B91">
        <w:rPr>
          <w:rStyle w:val="lev"/>
          <w:rFonts w:ascii="Comic Sans MS" w:hAnsi="Comic Sans MS"/>
          <w:b w:val="0"/>
          <w:bCs w:val="0"/>
          <w:sz w:val="22"/>
          <w:szCs w:val="22"/>
        </w:rPr>
        <w:t xml:space="preserve"> </w:t>
      </w:r>
      <w:proofErr w:type="spellStart"/>
      <w:r w:rsidRPr="00C11B91">
        <w:rPr>
          <w:rStyle w:val="lev"/>
          <w:rFonts w:ascii="Comic Sans MS" w:hAnsi="Comic Sans MS"/>
          <w:b w:val="0"/>
          <w:bCs w:val="0"/>
          <w:sz w:val="22"/>
          <w:szCs w:val="22"/>
        </w:rPr>
        <w:t>Firtash</w:t>
      </w:r>
      <w:proofErr w:type="spellEnd"/>
      <w:r w:rsidRPr="00C11B91">
        <w:rPr>
          <w:rFonts w:ascii="Comic Sans MS" w:hAnsi="Comic Sans MS"/>
          <w:sz w:val="22"/>
          <w:szCs w:val="22"/>
        </w:rPr>
        <w:t xml:space="preserve"> contrôle une part substantielle du marché du titane en Ukraine et du secteur de la chimie. Il détient le monopole du secteur des engrais azotés et il est propriétaire de la plupart des sociétés gazières régionales. Il a longtemps maintenu une influence politique en Ukraine par le biais de ses chaînes de TV et de députés pro-Kremlin à la Rada. Il est accusé d’avoir détourné 360 </w:t>
      </w:r>
      <w:r w:rsidRPr="00C11B91">
        <w:rPr>
          <w:sz w:val="22"/>
          <w:szCs w:val="22"/>
        </w:rPr>
        <w:t>​​</w:t>
      </w:r>
      <w:r w:rsidRPr="00C11B91">
        <w:rPr>
          <w:rFonts w:ascii="Comic Sans MS" w:hAnsi="Comic Sans MS"/>
          <w:sz w:val="22"/>
          <w:szCs w:val="22"/>
        </w:rPr>
        <w:t xml:space="preserve">millions de dollars de fonds publics dans le secteur gazier. Les </w:t>
      </w:r>
      <w:r w:rsidRPr="00C11B91">
        <w:rPr>
          <w:rFonts w:ascii="Comic Sans MS" w:hAnsi="Comic Sans MS" w:cs="Comic Sans MS"/>
          <w:sz w:val="22"/>
          <w:szCs w:val="22"/>
        </w:rPr>
        <w:t>É</w:t>
      </w:r>
      <w:r w:rsidRPr="00C11B91">
        <w:rPr>
          <w:rFonts w:ascii="Comic Sans MS" w:hAnsi="Comic Sans MS"/>
          <w:sz w:val="22"/>
          <w:szCs w:val="22"/>
        </w:rPr>
        <w:t>tats-Unis ont tent</w:t>
      </w:r>
      <w:r w:rsidRPr="00C11B91">
        <w:rPr>
          <w:rFonts w:ascii="Comic Sans MS" w:hAnsi="Comic Sans MS" w:cs="Comic Sans MS"/>
          <w:sz w:val="22"/>
          <w:szCs w:val="22"/>
        </w:rPr>
        <w:t>é</w:t>
      </w:r>
      <w:r w:rsidRPr="00C11B91">
        <w:rPr>
          <w:rFonts w:ascii="Comic Sans MS" w:hAnsi="Comic Sans MS"/>
          <w:sz w:val="22"/>
          <w:szCs w:val="22"/>
        </w:rPr>
        <w:t xml:space="preserve">, il y a quelques années, d’obtenir son extradition, car il est accusé d’avoir versé 19,5 millions de dollars de pots-de-vin à des responsables indiens dans une vente de titane à l’entreprise américaine Boeing. Le département de la justice américaine l’a accusé d’entretenir des liens étroits avec le crime organisé russe. Son influence politique dépasse les frontières ukrainiennes. En Autriche, où il a été jugé, il a pu mettre à profit ses liens avec le Parti populaire autrichien (ÖVP) et sa proximité avec l’ancien vice-chancelier et ministre des Finances Michael </w:t>
      </w:r>
      <w:proofErr w:type="spellStart"/>
      <w:r w:rsidRPr="00C11B91">
        <w:rPr>
          <w:rFonts w:ascii="Comic Sans MS" w:hAnsi="Comic Sans MS"/>
          <w:sz w:val="22"/>
          <w:szCs w:val="22"/>
        </w:rPr>
        <w:t>Spindelegger</w:t>
      </w:r>
      <w:proofErr w:type="spellEnd"/>
      <w:r w:rsidRPr="00C11B91">
        <w:rPr>
          <w:rFonts w:ascii="Comic Sans MS" w:hAnsi="Comic Sans MS"/>
          <w:sz w:val="22"/>
          <w:szCs w:val="22"/>
        </w:rPr>
        <w:t xml:space="preserve">, employant même l’ancien ministre de la Justice dans son équipe d’avocats. En 2021, </w:t>
      </w:r>
      <w:proofErr w:type="spellStart"/>
      <w:r w:rsidRPr="00C11B91">
        <w:rPr>
          <w:rFonts w:ascii="Comic Sans MS" w:hAnsi="Comic Sans MS"/>
          <w:sz w:val="22"/>
          <w:szCs w:val="22"/>
        </w:rPr>
        <w:t>Firtash</w:t>
      </w:r>
      <w:proofErr w:type="spellEnd"/>
      <w:r w:rsidRPr="00C11B91">
        <w:rPr>
          <w:rFonts w:ascii="Comic Sans MS" w:hAnsi="Comic Sans MS"/>
          <w:sz w:val="22"/>
          <w:szCs w:val="22"/>
        </w:rPr>
        <w:t xml:space="preserve"> a fait l’objet de sanctions économiques ukrainiennes pour la vente de titane à des entreprises russes du secteur de la défense.</w:t>
      </w:r>
    </w:p>
    <w:p w14:paraId="4D26E6D6" w14:textId="77777777" w:rsidR="00193192" w:rsidRPr="00C11B91" w:rsidRDefault="00193192" w:rsidP="00C11B91">
      <w:pPr>
        <w:pStyle w:val="NormalWeb"/>
        <w:spacing w:before="0" w:beforeAutospacing="0" w:after="0" w:afterAutospacing="0"/>
        <w:jc w:val="both"/>
        <w:rPr>
          <w:rFonts w:ascii="Comic Sans MS" w:hAnsi="Comic Sans MS"/>
          <w:sz w:val="22"/>
          <w:szCs w:val="22"/>
        </w:rPr>
      </w:pPr>
      <w:r w:rsidRPr="00C11B91">
        <w:rPr>
          <w:rStyle w:val="lev"/>
          <w:rFonts w:ascii="Comic Sans MS" w:hAnsi="Comic Sans MS"/>
          <w:b w:val="0"/>
          <w:bCs w:val="0"/>
          <w:sz w:val="22"/>
          <w:szCs w:val="22"/>
        </w:rPr>
        <w:t xml:space="preserve">Le plus riche des oligarques ukrainiens, </w:t>
      </w:r>
      <w:proofErr w:type="spellStart"/>
      <w:r w:rsidRPr="00C11B91">
        <w:rPr>
          <w:rStyle w:val="lev"/>
          <w:rFonts w:ascii="Comic Sans MS" w:hAnsi="Comic Sans MS"/>
          <w:b w:val="0"/>
          <w:bCs w:val="0"/>
          <w:sz w:val="22"/>
          <w:szCs w:val="22"/>
        </w:rPr>
        <w:t>Rinat</w:t>
      </w:r>
      <w:proofErr w:type="spellEnd"/>
      <w:r w:rsidRPr="00C11B91">
        <w:rPr>
          <w:rStyle w:val="lev"/>
          <w:rFonts w:ascii="Comic Sans MS" w:hAnsi="Comic Sans MS"/>
          <w:b w:val="0"/>
          <w:bCs w:val="0"/>
          <w:sz w:val="22"/>
          <w:szCs w:val="22"/>
        </w:rPr>
        <w:t xml:space="preserve"> </w:t>
      </w:r>
      <w:proofErr w:type="spellStart"/>
      <w:r w:rsidRPr="00C11B91">
        <w:rPr>
          <w:rStyle w:val="lev"/>
          <w:rFonts w:ascii="Comic Sans MS" w:hAnsi="Comic Sans MS"/>
          <w:b w:val="0"/>
          <w:bCs w:val="0"/>
          <w:sz w:val="22"/>
          <w:szCs w:val="22"/>
        </w:rPr>
        <w:t>Akhmetov</w:t>
      </w:r>
      <w:proofErr w:type="spellEnd"/>
      <w:r w:rsidRPr="00C11B91">
        <w:rPr>
          <w:rFonts w:ascii="Comic Sans MS" w:hAnsi="Comic Sans MS"/>
          <w:sz w:val="22"/>
          <w:szCs w:val="22"/>
        </w:rPr>
        <w:t xml:space="preserve">, a fait fortune dans l’industrie sidérurgique et minière et la production d’électricité. Il est le propriétaire de l’aciérie de Marioupol, la plus grande d’Europe, qui a été assiégée par les forces russes. Ses entreprises contrôlent plus de 50 % du marché ukrainien du minerai de fer et extraient près de 70 % du charbon en Ukraine. </w:t>
      </w:r>
      <w:proofErr w:type="spellStart"/>
      <w:r w:rsidRPr="00C11B91">
        <w:rPr>
          <w:rFonts w:ascii="Comic Sans MS" w:hAnsi="Comic Sans MS"/>
          <w:sz w:val="22"/>
          <w:szCs w:val="22"/>
        </w:rPr>
        <w:t>Akhmetov</w:t>
      </w:r>
      <w:proofErr w:type="spellEnd"/>
      <w:r w:rsidRPr="00C11B91">
        <w:rPr>
          <w:rFonts w:ascii="Comic Sans MS" w:hAnsi="Comic Sans MS"/>
          <w:sz w:val="22"/>
          <w:szCs w:val="22"/>
        </w:rPr>
        <w:t xml:space="preserve"> a bénéficié des prix très bas de l’extraction fixés par les gouvernements successifs. Il a utilisé le réseau ferroviaire, qui appartient à l’État, pour transporter le charbon et le minerai de fer, notamment vers l’étranger, à un prix si dérisoire, que l’entreprise ferroviaire nationale </w:t>
      </w:r>
      <w:proofErr w:type="spellStart"/>
      <w:r w:rsidRPr="00C11B91">
        <w:rPr>
          <w:rFonts w:ascii="Comic Sans MS" w:hAnsi="Comic Sans MS"/>
          <w:sz w:val="22"/>
          <w:szCs w:val="22"/>
        </w:rPr>
        <w:t>Ukrzaliznytsya</w:t>
      </w:r>
      <w:proofErr w:type="spellEnd"/>
      <w:r w:rsidRPr="00C11B91">
        <w:rPr>
          <w:rFonts w:ascii="Comic Sans MS" w:hAnsi="Comic Sans MS"/>
          <w:sz w:val="22"/>
          <w:szCs w:val="22"/>
        </w:rPr>
        <w:t xml:space="preserve"> a travaillé à perte. Avec la hausse des prix du minerai de fer, </w:t>
      </w:r>
      <w:proofErr w:type="spellStart"/>
      <w:r w:rsidRPr="00C11B91">
        <w:rPr>
          <w:rFonts w:ascii="Comic Sans MS" w:hAnsi="Comic Sans MS"/>
          <w:sz w:val="22"/>
          <w:szCs w:val="22"/>
        </w:rPr>
        <w:t>Akhmetov</w:t>
      </w:r>
      <w:proofErr w:type="spellEnd"/>
      <w:r w:rsidRPr="00C11B91">
        <w:rPr>
          <w:rFonts w:ascii="Comic Sans MS" w:hAnsi="Comic Sans MS"/>
          <w:sz w:val="22"/>
          <w:szCs w:val="22"/>
        </w:rPr>
        <w:t xml:space="preserve"> s’est enrichi au fil des ans, sa fortune passant de 2,8 milliards $ à 7,6 milliards $ en 2021. Il exerce une influence sur une cinquantaine de parlementaires ukrainiens et sur l’opinion publique, par le biais de ses chaînes TV. Il assure la production de 25% de l’électricité du pays, ce qui lui confère un véritable levier en matière d’influence politique. Il a fait l’objet d’une enquête sur le programme « Rotterdam plus », qui obligeait les Ukrainiens à payer un supplément pour la fourniture d’’électricité afin de couvrir le coût de livraisons imaginaires de charbon depuis Rotterdam. Il a financé pendant plusieurs années le Parti des régions de l’ancien président prorusse Victor Ianoukovitch. En 2021, il a été accusé de fomenter un coup d’État contre le président </w:t>
      </w:r>
      <w:proofErr w:type="spellStart"/>
      <w:r w:rsidRPr="00C11B91">
        <w:rPr>
          <w:rFonts w:ascii="Comic Sans MS" w:hAnsi="Comic Sans MS"/>
          <w:sz w:val="22"/>
          <w:szCs w:val="22"/>
        </w:rPr>
        <w:t>Zelensky</w:t>
      </w:r>
      <w:proofErr w:type="spellEnd"/>
      <w:r w:rsidRPr="00C11B91">
        <w:rPr>
          <w:rFonts w:ascii="Comic Sans MS" w:hAnsi="Comic Sans MS"/>
          <w:sz w:val="22"/>
          <w:szCs w:val="22"/>
        </w:rPr>
        <w:t>. Ayant dénoncé vigoureusement l’invasion russe en 2022, il est de retour en grâce auprès du pouvoir ukrainien.</w:t>
      </w:r>
    </w:p>
    <w:p w14:paraId="68727EE6" w14:textId="6874BCBD" w:rsidR="00193192" w:rsidRPr="00C11B91" w:rsidRDefault="00193192" w:rsidP="00C11B91">
      <w:pPr>
        <w:pStyle w:val="NormalWeb"/>
        <w:spacing w:before="0" w:beforeAutospacing="0" w:after="0" w:afterAutospacing="0"/>
        <w:jc w:val="both"/>
        <w:rPr>
          <w:rFonts w:ascii="Comic Sans MS" w:hAnsi="Comic Sans MS"/>
          <w:sz w:val="22"/>
          <w:szCs w:val="22"/>
        </w:rPr>
      </w:pPr>
      <w:r w:rsidRPr="00C11B91">
        <w:rPr>
          <w:rStyle w:val="lev"/>
          <w:rFonts w:ascii="Comic Sans MS" w:hAnsi="Comic Sans MS"/>
          <w:b w:val="0"/>
          <w:bCs w:val="0"/>
          <w:sz w:val="22"/>
          <w:szCs w:val="22"/>
        </w:rPr>
        <w:t xml:space="preserve">L’oligarque Victor </w:t>
      </w:r>
      <w:proofErr w:type="spellStart"/>
      <w:r w:rsidRPr="00C11B91">
        <w:rPr>
          <w:rStyle w:val="lev"/>
          <w:rFonts w:ascii="Comic Sans MS" w:hAnsi="Comic Sans MS"/>
          <w:b w:val="0"/>
          <w:bCs w:val="0"/>
          <w:sz w:val="22"/>
          <w:szCs w:val="22"/>
        </w:rPr>
        <w:t>Pintchouk</w:t>
      </w:r>
      <w:proofErr w:type="spellEnd"/>
      <w:r w:rsidRPr="00C11B91">
        <w:rPr>
          <w:rStyle w:val="lev"/>
          <w:rFonts w:ascii="Comic Sans MS" w:hAnsi="Comic Sans MS"/>
          <w:b w:val="0"/>
          <w:bCs w:val="0"/>
          <w:sz w:val="22"/>
          <w:szCs w:val="22"/>
        </w:rPr>
        <w:t xml:space="preserve"> </w:t>
      </w:r>
      <w:r w:rsidRPr="00C11B91">
        <w:rPr>
          <w:rFonts w:ascii="Comic Sans MS" w:hAnsi="Comic Sans MS"/>
          <w:sz w:val="22"/>
          <w:szCs w:val="22"/>
        </w:rPr>
        <w:t xml:space="preserve">est le gendre de l’ancien président Léonid Koutchma qui a été embourbé dans de nombreux scandales de corruption. Il détient le monopole de la production de tuyaux métalliques. Il exerce une influence politique importante en Ukraine, en particulier grâce à son groupe de médias </w:t>
      </w:r>
      <w:proofErr w:type="spellStart"/>
      <w:r w:rsidRPr="00C11B91">
        <w:rPr>
          <w:rFonts w:ascii="Comic Sans MS" w:hAnsi="Comic Sans MS"/>
          <w:sz w:val="22"/>
          <w:szCs w:val="22"/>
        </w:rPr>
        <w:t>Starlight</w:t>
      </w:r>
      <w:proofErr w:type="spellEnd"/>
      <w:r w:rsidRPr="00C11B91">
        <w:rPr>
          <w:rFonts w:ascii="Comic Sans MS" w:hAnsi="Comic Sans MS"/>
          <w:sz w:val="22"/>
          <w:szCs w:val="22"/>
        </w:rPr>
        <w:t>, et à l’étranger, grâce à sa présence chaque année au Forum économique de Davos, où il organise les « </w:t>
      </w:r>
      <w:proofErr w:type="spellStart"/>
      <w:r w:rsidRPr="00C11B91">
        <w:rPr>
          <w:rFonts w:ascii="Comic Sans MS" w:hAnsi="Comic Sans MS"/>
          <w:sz w:val="22"/>
          <w:szCs w:val="22"/>
        </w:rPr>
        <w:t>Ukrainian</w:t>
      </w:r>
      <w:proofErr w:type="spellEnd"/>
      <w:r w:rsidRPr="00C11B91">
        <w:rPr>
          <w:rFonts w:ascii="Comic Sans MS" w:hAnsi="Comic Sans MS"/>
          <w:sz w:val="22"/>
          <w:szCs w:val="22"/>
        </w:rPr>
        <w:t xml:space="preserve"> Breakfasts ». Par le biais de sa fondation : The </w:t>
      </w:r>
      <w:proofErr w:type="spellStart"/>
      <w:r w:rsidRPr="00C11B91">
        <w:rPr>
          <w:rFonts w:ascii="Comic Sans MS" w:hAnsi="Comic Sans MS"/>
          <w:sz w:val="22"/>
          <w:szCs w:val="22"/>
        </w:rPr>
        <w:t>Pinchuk</w:t>
      </w:r>
      <w:proofErr w:type="spellEnd"/>
      <w:r w:rsidRPr="00C11B91">
        <w:rPr>
          <w:rFonts w:ascii="Comic Sans MS" w:hAnsi="Comic Sans MS"/>
          <w:sz w:val="22"/>
          <w:szCs w:val="22"/>
        </w:rPr>
        <w:t xml:space="preserve"> </w:t>
      </w:r>
      <w:proofErr w:type="spellStart"/>
      <w:r w:rsidRPr="00C11B91">
        <w:rPr>
          <w:rFonts w:ascii="Comic Sans MS" w:hAnsi="Comic Sans MS"/>
          <w:sz w:val="22"/>
          <w:szCs w:val="22"/>
        </w:rPr>
        <w:t>Foundation</w:t>
      </w:r>
      <w:proofErr w:type="spellEnd"/>
      <w:r w:rsidRPr="00C11B91">
        <w:rPr>
          <w:rFonts w:ascii="Comic Sans MS" w:hAnsi="Comic Sans MS"/>
          <w:sz w:val="22"/>
          <w:szCs w:val="22"/>
        </w:rPr>
        <w:t xml:space="preserve">, il est très actif dans les </w:t>
      </w:r>
      <w:proofErr w:type="spellStart"/>
      <w:r w:rsidRPr="00C11B91">
        <w:rPr>
          <w:rFonts w:ascii="Comic Sans MS" w:hAnsi="Comic Sans MS"/>
          <w:sz w:val="22"/>
          <w:szCs w:val="22"/>
        </w:rPr>
        <w:t>think</w:t>
      </w:r>
      <w:proofErr w:type="spellEnd"/>
      <w:r w:rsidRPr="00C11B91">
        <w:rPr>
          <w:rFonts w:ascii="Comic Sans MS" w:hAnsi="Comic Sans MS"/>
          <w:sz w:val="22"/>
          <w:szCs w:val="22"/>
        </w:rPr>
        <w:t xml:space="preserve"> tanks américains. Il fait don de sommes importantes à la Brookings Institution et à l’Atlantic Council. Comme d’autres oligarques, </w:t>
      </w:r>
      <w:proofErr w:type="spellStart"/>
      <w:r w:rsidRPr="00C11B91">
        <w:rPr>
          <w:rFonts w:ascii="Comic Sans MS" w:hAnsi="Comic Sans MS"/>
          <w:sz w:val="22"/>
          <w:szCs w:val="22"/>
        </w:rPr>
        <w:t>Pintchouk</w:t>
      </w:r>
      <w:proofErr w:type="spellEnd"/>
      <w:r w:rsidRPr="00C11B91">
        <w:rPr>
          <w:rFonts w:ascii="Comic Sans MS" w:hAnsi="Comic Sans MS"/>
          <w:sz w:val="22"/>
          <w:szCs w:val="22"/>
        </w:rPr>
        <w:t xml:space="preserve"> a également financé des initiatives à travers l’ensemble du spectre politique américain, de Donald Trump jusqu’à la Fondation </w:t>
      </w:r>
      <w:r w:rsidRPr="00C11B91">
        <w:rPr>
          <w:rFonts w:ascii="Comic Sans MS" w:hAnsi="Comic Sans MS"/>
          <w:sz w:val="22"/>
          <w:szCs w:val="22"/>
        </w:rPr>
        <w:lastRenderedPageBreak/>
        <w:t>Clinton</w:t>
      </w:r>
      <w:r w:rsidR="00917CAA">
        <w:rPr>
          <w:rFonts w:ascii="Comic Sans MS" w:hAnsi="Comic Sans MS"/>
          <w:sz w:val="22"/>
          <w:szCs w:val="22"/>
        </w:rPr>
        <w:t>.</w:t>
      </w:r>
      <w:r w:rsidRPr="00C11B91">
        <w:rPr>
          <w:rFonts w:ascii="Comic Sans MS" w:hAnsi="Comic Sans MS"/>
          <w:sz w:val="22"/>
          <w:szCs w:val="22"/>
        </w:rPr>
        <w:t xml:space="preserve"> Il est le mentor de nombreux jeunes perçus comme de futurs décideurs politiques, dont il couvre les frais de scolarité dans des universités prestigieuses en Occident. En 2004, il a créé l’organisation Yalta </w:t>
      </w:r>
      <w:proofErr w:type="spellStart"/>
      <w:r w:rsidRPr="00C11B91">
        <w:rPr>
          <w:rFonts w:ascii="Comic Sans MS" w:hAnsi="Comic Sans MS"/>
          <w:sz w:val="22"/>
          <w:szCs w:val="22"/>
        </w:rPr>
        <w:t>European</w:t>
      </w:r>
      <w:proofErr w:type="spellEnd"/>
      <w:r w:rsidRPr="00C11B91">
        <w:rPr>
          <w:rFonts w:ascii="Comic Sans MS" w:hAnsi="Comic Sans MS"/>
          <w:sz w:val="22"/>
          <w:szCs w:val="22"/>
        </w:rPr>
        <w:t xml:space="preserve"> </w:t>
      </w:r>
      <w:proofErr w:type="spellStart"/>
      <w:r w:rsidRPr="00C11B91">
        <w:rPr>
          <w:rFonts w:ascii="Comic Sans MS" w:hAnsi="Comic Sans MS"/>
          <w:sz w:val="22"/>
          <w:szCs w:val="22"/>
        </w:rPr>
        <w:t>Strategy</w:t>
      </w:r>
      <w:proofErr w:type="spellEnd"/>
      <w:r w:rsidRPr="00C11B91">
        <w:rPr>
          <w:rFonts w:ascii="Comic Sans MS" w:hAnsi="Comic Sans MS"/>
          <w:sz w:val="22"/>
          <w:szCs w:val="22"/>
        </w:rPr>
        <w:t xml:space="preserve"> (YES) pour promouvoir l’adhésion de l’Ukraine à l’UE, puis il a préconisé en 2016 que l’Ukraine abandonne temporairement la perspective d’une adhésion à l’UE, exclue l’adhésion à l’OTAN et négocie avec la Russie en vue de garantir la paix. Il s’est affronté à l’oligarque </w:t>
      </w:r>
      <w:proofErr w:type="spellStart"/>
      <w:r w:rsidRPr="00C11B91">
        <w:rPr>
          <w:rFonts w:ascii="Comic Sans MS" w:hAnsi="Comic Sans MS"/>
          <w:sz w:val="22"/>
          <w:szCs w:val="22"/>
        </w:rPr>
        <w:t>Kolomoïsky</w:t>
      </w:r>
      <w:proofErr w:type="spellEnd"/>
      <w:r w:rsidRPr="00C11B91">
        <w:rPr>
          <w:rFonts w:ascii="Comic Sans MS" w:hAnsi="Comic Sans MS"/>
          <w:sz w:val="22"/>
          <w:szCs w:val="22"/>
        </w:rPr>
        <w:t xml:space="preserve"> dans le cadre de plusieurs procès pour corruption.</w:t>
      </w:r>
    </w:p>
    <w:tbl>
      <w:tblPr>
        <w:tblW w:w="11235" w:type="dxa"/>
        <w:tblCellSpacing w:w="15" w:type="dxa"/>
        <w:tblCellMar>
          <w:top w:w="15" w:type="dxa"/>
          <w:left w:w="15" w:type="dxa"/>
          <w:bottom w:w="15" w:type="dxa"/>
          <w:right w:w="15" w:type="dxa"/>
        </w:tblCellMar>
        <w:tblLook w:val="04A0" w:firstRow="1" w:lastRow="0" w:firstColumn="1" w:lastColumn="0" w:noHBand="0" w:noVBand="1"/>
      </w:tblPr>
      <w:tblGrid>
        <w:gridCol w:w="11235"/>
      </w:tblGrid>
      <w:tr w:rsidR="00C11B91" w:rsidRPr="00C11B91" w14:paraId="102B621A" w14:textId="77777777" w:rsidTr="00193192">
        <w:trPr>
          <w:tblCellSpacing w:w="15" w:type="dxa"/>
        </w:trPr>
        <w:tc>
          <w:tcPr>
            <w:tcW w:w="11175" w:type="dxa"/>
            <w:vAlign w:val="center"/>
          </w:tcPr>
          <w:p w14:paraId="0B7B319F" w14:textId="77777777" w:rsidR="00193192" w:rsidRPr="00C11B91" w:rsidRDefault="00193192" w:rsidP="00C11B91">
            <w:pPr>
              <w:spacing w:after="0" w:line="240" w:lineRule="auto"/>
              <w:jc w:val="both"/>
              <w:rPr>
                <w:rFonts w:ascii="Comic Sans MS" w:eastAsia="Times New Roman" w:hAnsi="Comic Sans MS" w:cs="Times New Roman"/>
                <w:lang w:eastAsia="fr-FR"/>
              </w:rPr>
            </w:pPr>
          </w:p>
        </w:tc>
      </w:tr>
    </w:tbl>
    <w:p w14:paraId="6B5F41E8" w14:textId="77777777" w:rsidR="00193192" w:rsidRPr="00C11B91" w:rsidRDefault="00193192" w:rsidP="00C11B91">
      <w:pPr>
        <w:spacing w:after="0" w:line="240" w:lineRule="auto"/>
        <w:jc w:val="both"/>
        <w:rPr>
          <w:rFonts w:ascii="Comic Sans MS" w:eastAsia="Times New Roman" w:hAnsi="Comic Sans MS" w:cs="Times New Roman"/>
          <w:lang w:eastAsia="fr-FR"/>
        </w:rPr>
      </w:pPr>
      <w:bookmarkStart w:id="0" w:name="_ftn1"/>
      <w:bookmarkEnd w:id="0"/>
      <w:r w:rsidRPr="00C11B91">
        <w:rPr>
          <w:rFonts w:ascii="Comic Sans MS" w:eastAsia="Times New Roman" w:hAnsi="Comic Sans MS" w:cs="Times New Roman"/>
          <w:caps/>
          <w:lang w:eastAsia="fr-FR"/>
        </w:rPr>
        <w:t>À propos de l’auteur</w:t>
      </w:r>
    </w:p>
    <w:p w14:paraId="40703F8B" w14:textId="77777777" w:rsidR="00193192" w:rsidRPr="00C11B91" w:rsidRDefault="00193192" w:rsidP="00C11B91">
      <w:pPr>
        <w:spacing w:after="0" w:line="240" w:lineRule="auto"/>
        <w:jc w:val="both"/>
        <w:outlineLvl w:val="1"/>
        <w:rPr>
          <w:rFonts w:ascii="Comic Sans MS" w:eastAsia="Times New Roman" w:hAnsi="Comic Sans MS" w:cs="Times New Roman"/>
          <w:lang w:eastAsia="fr-FR"/>
        </w:rPr>
      </w:pPr>
      <w:r w:rsidRPr="00C11B91">
        <w:rPr>
          <w:rFonts w:ascii="Comic Sans MS" w:eastAsia="Times New Roman" w:hAnsi="Comic Sans MS" w:cs="Times New Roman"/>
          <w:lang w:eastAsia="fr-FR"/>
        </w:rPr>
        <w:t xml:space="preserve">Ana </w:t>
      </w:r>
      <w:proofErr w:type="spellStart"/>
      <w:r w:rsidRPr="00C11B91">
        <w:rPr>
          <w:rFonts w:ascii="Comic Sans MS" w:eastAsia="Times New Roman" w:hAnsi="Comic Sans MS" w:cs="Times New Roman"/>
          <w:lang w:eastAsia="fr-FR"/>
        </w:rPr>
        <w:t>Pouvreau</w:t>
      </w:r>
      <w:proofErr w:type="spellEnd"/>
    </w:p>
    <w:p w14:paraId="0F71D13F" w14:textId="77777777" w:rsidR="00917CAA" w:rsidRDefault="00193192" w:rsidP="00C11B91">
      <w:pPr>
        <w:spacing w:after="0" w:line="240" w:lineRule="auto"/>
        <w:jc w:val="both"/>
        <w:rPr>
          <w:rFonts w:ascii="Comic Sans MS" w:eastAsia="Times New Roman" w:hAnsi="Comic Sans MS" w:cs="Times New Roman"/>
          <w:lang w:eastAsia="fr-FR"/>
        </w:rPr>
      </w:pPr>
      <w:r w:rsidRPr="00C11B91">
        <w:rPr>
          <w:rFonts w:ascii="Comic Sans MS" w:eastAsia="Times New Roman" w:hAnsi="Comic Sans MS" w:cs="Times New Roman"/>
          <w:lang w:eastAsia="fr-FR"/>
        </w:rPr>
        <w:t xml:space="preserve">Spécialiste des mondes russe et turc, docteure ès lettres de l’université de Paris IV-Sorbonne et diplômée de Boston </w:t>
      </w:r>
      <w:proofErr w:type="spellStart"/>
      <w:r w:rsidRPr="00C11B91">
        <w:rPr>
          <w:rFonts w:ascii="Comic Sans MS" w:eastAsia="Times New Roman" w:hAnsi="Comic Sans MS" w:cs="Times New Roman"/>
          <w:lang w:eastAsia="fr-FR"/>
        </w:rPr>
        <w:t>University</w:t>
      </w:r>
      <w:proofErr w:type="spellEnd"/>
      <w:r w:rsidRPr="00C11B91">
        <w:rPr>
          <w:rFonts w:ascii="Comic Sans MS" w:eastAsia="Times New Roman" w:hAnsi="Comic Sans MS" w:cs="Times New Roman"/>
          <w:lang w:eastAsia="fr-FR"/>
        </w:rPr>
        <w:t xml:space="preserve"> en relations internationales et études stratégiques. Éditorialiste à l’Institut FMES (Toulon). Auteure de plusieurs ouvrages de géostratégie. </w:t>
      </w:r>
    </w:p>
    <w:p w14:paraId="2D427E74" w14:textId="61798F0D" w:rsidR="00441C76" w:rsidRPr="00C11B91" w:rsidRDefault="00193192" w:rsidP="00C11B91">
      <w:pPr>
        <w:spacing w:after="0" w:line="240" w:lineRule="auto"/>
        <w:jc w:val="both"/>
        <w:rPr>
          <w:rFonts w:ascii="Comic Sans MS" w:hAnsi="Comic Sans MS"/>
        </w:rPr>
      </w:pPr>
      <w:r w:rsidRPr="00C11B91">
        <w:rPr>
          <w:rFonts w:ascii="Comic Sans MS" w:eastAsia="Times New Roman" w:hAnsi="Comic Sans MS" w:cs="Times New Roman"/>
          <w:lang w:eastAsia="fr-FR"/>
        </w:rPr>
        <w:t>Auditrice de l’IHEDN.</w:t>
      </w:r>
    </w:p>
    <w:sectPr w:rsidR="00441C76" w:rsidRPr="00C11B9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B4BF0" w14:textId="77777777" w:rsidR="00D51CE9" w:rsidRDefault="00D51CE9" w:rsidP="00240FA1">
      <w:pPr>
        <w:spacing w:after="0" w:line="240" w:lineRule="auto"/>
      </w:pPr>
      <w:r>
        <w:separator/>
      </w:r>
    </w:p>
  </w:endnote>
  <w:endnote w:type="continuationSeparator" w:id="0">
    <w:p w14:paraId="45F43E70" w14:textId="77777777" w:rsidR="00D51CE9" w:rsidRDefault="00D51CE9" w:rsidP="00240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095881"/>
      <w:docPartObj>
        <w:docPartGallery w:val="Page Numbers (Bottom of Page)"/>
        <w:docPartUnique/>
      </w:docPartObj>
    </w:sdtPr>
    <w:sdtEndPr/>
    <w:sdtContent>
      <w:p w14:paraId="3E60A7CD" w14:textId="77777777" w:rsidR="00240FA1" w:rsidRDefault="00240FA1">
        <w:pPr>
          <w:pStyle w:val="Pieddepage"/>
          <w:jc w:val="right"/>
        </w:pPr>
        <w:r>
          <w:fldChar w:fldCharType="begin"/>
        </w:r>
        <w:r>
          <w:instrText>PAGE   \* MERGEFORMAT</w:instrText>
        </w:r>
        <w:r>
          <w:fldChar w:fldCharType="separate"/>
        </w:r>
        <w:r w:rsidR="00251DEA">
          <w:rPr>
            <w:noProof/>
          </w:rPr>
          <w:t>1</w:t>
        </w:r>
        <w:r>
          <w:fldChar w:fldCharType="end"/>
        </w:r>
      </w:p>
    </w:sdtContent>
  </w:sdt>
  <w:p w14:paraId="1D1238E5" w14:textId="77777777" w:rsidR="00240FA1" w:rsidRDefault="00240FA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6DE2F" w14:textId="77777777" w:rsidR="00D51CE9" w:rsidRDefault="00D51CE9" w:rsidP="00240FA1">
      <w:pPr>
        <w:spacing w:after="0" w:line="240" w:lineRule="auto"/>
      </w:pPr>
      <w:r>
        <w:separator/>
      </w:r>
    </w:p>
  </w:footnote>
  <w:footnote w:type="continuationSeparator" w:id="0">
    <w:p w14:paraId="3E8C2A0A" w14:textId="77777777" w:rsidR="00D51CE9" w:rsidRDefault="00D51CE9" w:rsidP="00240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95E07"/>
    <w:multiLevelType w:val="hybridMultilevel"/>
    <w:tmpl w:val="FE549C20"/>
    <w:lvl w:ilvl="0" w:tplc="98FC8676">
      <w:start w:val="1"/>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433092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192"/>
    <w:rsid w:val="00193192"/>
    <w:rsid w:val="001F4280"/>
    <w:rsid w:val="00240FA1"/>
    <w:rsid w:val="00251DEA"/>
    <w:rsid w:val="00441C76"/>
    <w:rsid w:val="00917CAA"/>
    <w:rsid w:val="00C11B91"/>
    <w:rsid w:val="00D51CE9"/>
    <w:rsid w:val="00DA66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1EA3C"/>
  <w15:chartTrackingRefBased/>
  <w15:docId w15:val="{96042CF4-03CE-4FA8-BB45-9379B1FFA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931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9319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19319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19319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9319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93192"/>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193192"/>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193192"/>
    <w:rPr>
      <w:rFonts w:ascii="Times New Roman" w:eastAsia="Times New Roman" w:hAnsi="Times New Roman" w:cs="Times New Roman"/>
      <w:b/>
      <w:bCs/>
      <w:sz w:val="24"/>
      <w:szCs w:val="24"/>
      <w:lang w:eastAsia="fr-FR"/>
    </w:rPr>
  </w:style>
  <w:style w:type="paragraph" w:customStyle="1" w:styleId="etpbtitlemetacontainer">
    <w:name w:val="et_pb_title_meta_container"/>
    <w:basedOn w:val="Normal"/>
    <w:rsid w:val="0019319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hor">
    <w:name w:val="author"/>
    <w:basedOn w:val="Policepardfaut"/>
    <w:rsid w:val="00193192"/>
  </w:style>
  <w:style w:type="character" w:styleId="Lienhypertexte">
    <w:name w:val="Hyperlink"/>
    <w:basedOn w:val="Policepardfaut"/>
    <w:uiPriority w:val="99"/>
    <w:semiHidden/>
    <w:unhideWhenUsed/>
    <w:rsid w:val="00193192"/>
    <w:rPr>
      <w:color w:val="0000FF"/>
      <w:u w:val="single"/>
    </w:rPr>
  </w:style>
  <w:style w:type="character" w:styleId="lev">
    <w:name w:val="Strong"/>
    <w:basedOn w:val="Policepardfaut"/>
    <w:uiPriority w:val="22"/>
    <w:qFormat/>
    <w:rsid w:val="00193192"/>
    <w:rPr>
      <w:b/>
      <w:bCs/>
    </w:rPr>
  </w:style>
  <w:style w:type="paragraph" w:styleId="NormalWeb">
    <w:name w:val="Normal (Web)"/>
    <w:basedOn w:val="Normal"/>
    <w:uiPriority w:val="99"/>
    <w:semiHidden/>
    <w:unhideWhenUsed/>
    <w:rsid w:val="0019319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193192"/>
    <w:rPr>
      <w:i/>
      <w:iCs/>
    </w:rPr>
  </w:style>
  <w:style w:type="paragraph" w:styleId="En-tte">
    <w:name w:val="header"/>
    <w:basedOn w:val="Normal"/>
    <w:link w:val="En-tteCar"/>
    <w:uiPriority w:val="99"/>
    <w:unhideWhenUsed/>
    <w:rsid w:val="00240FA1"/>
    <w:pPr>
      <w:tabs>
        <w:tab w:val="center" w:pos="4536"/>
        <w:tab w:val="right" w:pos="9072"/>
      </w:tabs>
      <w:spacing w:after="0" w:line="240" w:lineRule="auto"/>
    </w:pPr>
  </w:style>
  <w:style w:type="character" w:customStyle="1" w:styleId="En-tteCar">
    <w:name w:val="En-tête Car"/>
    <w:basedOn w:val="Policepardfaut"/>
    <w:link w:val="En-tte"/>
    <w:uiPriority w:val="99"/>
    <w:rsid w:val="00240FA1"/>
  </w:style>
  <w:style w:type="paragraph" w:styleId="Pieddepage">
    <w:name w:val="footer"/>
    <w:basedOn w:val="Normal"/>
    <w:link w:val="PieddepageCar"/>
    <w:uiPriority w:val="99"/>
    <w:unhideWhenUsed/>
    <w:rsid w:val="00240F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0FA1"/>
  </w:style>
  <w:style w:type="paragraph" w:styleId="Paragraphedeliste">
    <w:name w:val="List Paragraph"/>
    <w:basedOn w:val="Normal"/>
    <w:uiPriority w:val="34"/>
    <w:qFormat/>
    <w:rsid w:val="00DA6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128717">
      <w:bodyDiv w:val="1"/>
      <w:marLeft w:val="0"/>
      <w:marRight w:val="0"/>
      <w:marTop w:val="0"/>
      <w:marBottom w:val="0"/>
      <w:divBdr>
        <w:top w:val="none" w:sz="0" w:space="0" w:color="auto"/>
        <w:left w:val="none" w:sz="0" w:space="0" w:color="auto"/>
        <w:bottom w:val="none" w:sz="0" w:space="0" w:color="auto"/>
        <w:right w:val="none" w:sz="0" w:space="0" w:color="auto"/>
      </w:divBdr>
      <w:divsChild>
        <w:div w:id="813643783">
          <w:marLeft w:val="0"/>
          <w:marRight w:val="0"/>
          <w:marTop w:val="0"/>
          <w:marBottom w:val="0"/>
          <w:divBdr>
            <w:top w:val="none" w:sz="0" w:space="0" w:color="auto"/>
            <w:left w:val="none" w:sz="0" w:space="0" w:color="auto"/>
            <w:bottom w:val="none" w:sz="0" w:space="0" w:color="auto"/>
            <w:right w:val="none" w:sz="0" w:space="0" w:color="auto"/>
          </w:divBdr>
          <w:divsChild>
            <w:div w:id="520555846">
              <w:marLeft w:val="0"/>
              <w:marRight w:val="0"/>
              <w:marTop w:val="0"/>
              <w:marBottom w:val="0"/>
              <w:divBdr>
                <w:top w:val="none" w:sz="0" w:space="0" w:color="auto"/>
                <w:left w:val="none" w:sz="0" w:space="0" w:color="auto"/>
                <w:bottom w:val="none" w:sz="0" w:space="0" w:color="auto"/>
                <w:right w:val="none" w:sz="0" w:space="0" w:color="auto"/>
              </w:divBdr>
              <w:divsChild>
                <w:div w:id="317729966">
                  <w:marLeft w:val="0"/>
                  <w:marRight w:val="0"/>
                  <w:marTop w:val="0"/>
                  <w:marBottom w:val="0"/>
                  <w:divBdr>
                    <w:top w:val="none" w:sz="0" w:space="0" w:color="auto"/>
                    <w:left w:val="none" w:sz="0" w:space="0" w:color="auto"/>
                    <w:bottom w:val="none" w:sz="0" w:space="0" w:color="auto"/>
                    <w:right w:val="none" w:sz="0" w:space="0" w:color="auto"/>
                  </w:divBdr>
                  <w:divsChild>
                    <w:div w:id="178085410">
                      <w:marLeft w:val="0"/>
                      <w:marRight w:val="0"/>
                      <w:marTop w:val="0"/>
                      <w:marBottom w:val="0"/>
                      <w:divBdr>
                        <w:top w:val="none" w:sz="0" w:space="0" w:color="auto"/>
                        <w:left w:val="none" w:sz="0" w:space="0" w:color="auto"/>
                        <w:bottom w:val="none" w:sz="0" w:space="0" w:color="auto"/>
                        <w:right w:val="none" w:sz="0" w:space="0" w:color="auto"/>
                      </w:divBdr>
                      <w:divsChild>
                        <w:div w:id="482240042">
                          <w:marLeft w:val="0"/>
                          <w:marRight w:val="0"/>
                          <w:marTop w:val="0"/>
                          <w:marBottom w:val="0"/>
                          <w:divBdr>
                            <w:top w:val="none" w:sz="0" w:space="0" w:color="auto"/>
                            <w:left w:val="none" w:sz="0" w:space="0" w:color="auto"/>
                            <w:bottom w:val="none" w:sz="0" w:space="0" w:color="auto"/>
                            <w:right w:val="none" w:sz="0" w:space="0" w:color="auto"/>
                          </w:divBdr>
                        </w:div>
                      </w:divsChild>
                    </w:div>
                    <w:div w:id="1588224971">
                      <w:marLeft w:val="0"/>
                      <w:marRight w:val="0"/>
                      <w:marTop w:val="0"/>
                      <w:marBottom w:val="0"/>
                      <w:divBdr>
                        <w:top w:val="none" w:sz="0" w:space="0" w:color="auto"/>
                        <w:left w:val="none" w:sz="0" w:space="0" w:color="auto"/>
                        <w:bottom w:val="none" w:sz="0" w:space="0" w:color="auto"/>
                        <w:right w:val="none" w:sz="0" w:space="0" w:color="auto"/>
                      </w:divBdr>
                    </w:div>
                    <w:div w:id="356273098">
                      <w:marLeft w:val="0"/>
                      <w:marRight w:val="0"/>
                      <w:marTop w:val="0"/>
                      <w:marBottom w:val="0"/>
                      <w:divBdr>
                        <w:top w:val="none" w:sz="0" w:space="0" w:color="auto"/>
                        <w:left w:val="none" w:sz="0" w:space="0" w:color="auto"/>
                        <w:bottom w:val="none" w:sz="0" w:space="0" w:color="auto"/>
                        <w:right w:val="none" w:sz="0" w:space="0" w:color="auto"/>
                      </w:divBdr>
                      <w:divsChild>
                        <w:div w:id="1666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615230">
          <w:marLeft w:val="0"/>
          <w:marRight w:val="0"/>
          <w:marTop w:val="0"/>
          <w:marBottom w:val="0"/>
          <w:divBdr>
            <w:top w:val="none" w:sz="0" w:space="0" w:color="auto"/>
            <w:left w:val="none" w:sz="0" w:space="0" w:color="auto"/>
            <w:bottom w:val="none" w:sz="0" w:space="0" w:color="auto"/>
            <w:right w:val="none" w:sz="0" w:space="0" w:color="auto"/>
          </w:divBdr>
          <w:divsChild>
            <w:div w:id="374157427">
              <w:marLeft w:val="0"/>
              <w:marRight w:val="0"/>
              <w:marTop w:val="0"/>
              <w:marBottom w:val="0"/>
              <w:divBdr>
                <w:top w:val="none" w:sz="0" w:space="0" w:color="auto"/>
                <w:left w:val="none" w:sz="0" w:space="0" w:color="auto"/>
                <w:bottom w:val="none" w:sz="0" w:space="0" w:color="auto"/>
                <w:right w:val="none" w:sz="0" w:space="0" w:color="auto"/>
              </w:divBdr>
              <w:divsChild>
                <w:div w:id="140275600">
                  <w:marLeft w:val="0"/>
                  <w:marRight w:val="0"/>
                  <w:marTop w:val="0"/>
                  <w:marBottom w:val="0"/>
                  <w:divBdr>
                    <w:top w:val="none" w:sz="0" w:space="0" w:color="auto"/>
                    <w:left w:val="none" w:sz="0" w:space="0" w:color="auto"/>
                    <w:bottom w:val="none" w:sz="0" w:space="0" w:color="auto"/>
                    <w:right w:val="none" w:sz="0" w:space="0" w:color="auto"/>
                  </w:divBdr>
                  <w:divsChild>
                    <w:div w:id="412360873">
                      <w:marLeft w:val="0"/>
                      <w:marRight w:val="0"/>
                      <w:marTop w:val="0"/>
                      <w:marBottom w:val="0"/>
                      <w:divBdr>
                        <w:top w:val="none" w:sz="0" w:space="0" w:color="auto"/>
                        <w:left w:val="none" w:sz="0" w:space="0" w:color="auto"/>
                        <w:bottom w:val="none" w:sz="0" w:space="0" w:color="auto"/>
                        <w:right w:val="none" w:sz="0" w:space="0" w:color="auto"/>
                      </w:divBdr>
                      <w:divsChild>
                        <w:div w:id="79954468">
                          <w:marLeft w:val="0"/>
                          <w:marRight w:val="0"/>
                          <w:marTop w:val="0"/>
                          <w:marBottom w:val="0"/>
                          <w:divBdr>
                            <w:top w:val="none" w:sz="0" w:space="0" w:color="auto"/>
                            <w:left w:val="none" w:sz="0" w:space="0" w:color="auto"/>
                            <w:bottom w:val="none" w:sz="0" w:space="0" w:color="auto"/>
                            <w:right w:val="none" w:sz="0" w:space="0" w:color="auto"/>
                          </w:divBdr>
                        </w:div>
                      </w:divsChild>
                    </w:div>
                    <w:div w:id="325326833">
                      <w:marLeft w:val="0"/>
                      <w:marRight w:val="0"/>
                      <w:marTop w:val="0"/>
                      <w:marBottom w:val="0"/>
                      <w:divBdr>
                        <w:top w:val="none" w:sz="0" w:space="0" w:color="auto"/>
                        <w:left w:val="none" w:sz="0" w:space="0" w:color="auto"/>
                        <w:bottom w:val="none" w:sz="0" w:space="0" w:color="auto"/>
                        <w:right w:val="none" w:sz="0" w:space="0" w:color="auto"/>
                      </w:divBdr>
                    </w:div>
                    <w:div w:id="1407530488">
                      <w:marLeft w:val="0"/>
                      <w:marRight w:val="0"/>
                      <w:marTop w:val="0"/>
                      <w:marBottom w:val="0"/>
                      <w:divBdr>
                        <w:top w:val="none" w:sz="0" w:space="0" w:color="auto"/>
                        <w:left w:val="none" w:sz="0" w:space="0" w:color="auto"/>
                        <w:bottom w:val="none" w:sz="0" w:space="0" w:color="auto"/>
                        <w:right w:val="none" w:sz="0" w:space="0" w:color="auto"/>
                      </w:divBdr>
                      <w:divsChild>
                        <w:div w:id="976255120">
                          <w:marLeft w:val="0"/>
                          <w:marRight w:val="0"/>
                          <w:marTop w:val="0"/>
                          <w:marBottom w:val="0"/>
                          <w:divBdr>
                            <w:top w:val="none" w:sz="0" w:space="0" w:color="auto"/>
                            <w:left w:val="none" w:sz="0" w:space="0" w:color="auto"/>
                            <w:bottom w:val="none" w:sz="0" w:space="0" w:color="auto"/>
                            <w:right w:val="none" w:sz="0" w:space="0" w:color="auto"/>
                          </w:divBdr>
                          <w:divsChild>
                            <w:div w:id="39493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12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ojects.icij.org/investigations/pandora-papers/power-players/en/player/volodymyr-zelensky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2827</Words>
  <Characters>15552</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DSIC</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VINCON THIERRY</dc:creator>
  <cp:keywords/>
  <dc:description/>
  <cp:lastModifiedBy>Jean - Claude BAFFIE</cp:lastModifiedBy>
  <cp:revision>5</cp:revision>
  <dcterms:created xsi:type="dcterms:W3CDTF">2022-06-03T08:40:00Z</dcterms:created>
  <dcterms:modified xsi:type="dcterms:W3CDTF">2022-06-06T06:04:00Z</dcterms:modified>
</cp:coreProperties>
</file>